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**ID__AFARS_5101.693__ID**</w:t>
      </w:r>
    </w:p>
    <w:p>
      <w:pPr>
        <w:pStyle w:val="Heading3"/>
        <w:spacing w:after="199"/>
        <w:ind w:left="120"/>
        <w:jc w:val="left"/>
      </w:pPr>
      <w:r>
        <w:rPr>
          <w:rFonts w:ascii="Times New Roman" w:hAnsi="Times New Roman"/>
          <w:color w:val="000000"/>
          <w:sz w:val="31"/>
        </w:rPr>
        <w:t>5101.693</w:t>
      </w:r>
      <w:r>
        <w:rPr>
          <w:rFonts w:ascii="Times New Roman" w:hAnsi="Times New Roman"/>
          <w:color w:val="000000"/>
          <w:sz w:val="31"/>
        </w:rPr>
        <w:t xml:space="preserve"> Senior contracting official.</w:t>
      </w:r>
    </w:p>
    <w:p>
      <w:pPr>
        <w:pBdr>
          <w:top w:space="5"/>
          <w:left w:space="5"/>
          <w:bottom w:space="5"/>
          <w:right w:space="5"/>
        </w:pBdr>
        <w:spacing w:after="0"/>
        <w:ind w:left="585"/>
        <w:jc w:val="left"/>
      </w:pPr>
      <w:r>
        <w:rPr>
          <w:rFonts w:ascii="Times New Roman" w:hAnsi="Times New Roman"/>
          <w:b w:val="false"/>
          <w:i w:val="false"/>
          <w:color w:val="000000"/>
          <w:sz w:val="22"/>
        </w:rPr>
        <w:t>(1) A SCO, defined as a critical acquisition position in 10 U.S.C. 1735 and a key leadership position in the DoDI 5000.66, must meet the additional position requirements listed in DoDI 5000.66, Table 1.</w:t>
      </w:r>
    </w:p>
    <w:p>
      <w:pPr>
        <w:pBdr>
          <w:top w:space="5"/>
          <w:left w:space="5"/>
          <w:bottom w:space="5"/>
          <w:right w:space="5"/>
        </w:pBdr>
        <w:spacing w:after="0"/>
        <w:ind w:left="585"/>
        <w:jc w:val="left"/>
      </w:pPr>
      <w:r>
        <w:rPr>
          <w:rFonts w:ascii="Times New Roman" w:hAnsi="Times New Roman"/>
          <w:b w:val="false"/>
          <w:i w:val="false"/>
          <w:color w:val="000000"/>
          <w:sz w:val="22"/>
        </w:rPr>
        <w:t>(2) SCOs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(3) The SCO, by virtue of the organizational position occupied, may execute command functions for the contracting activity, but these functions are separate and distinct from procurement authority.</w:t>
      </w:r>
    </w:p>
    <w:p>
      <w:pPr>
        <w:pBdr>
          <w:top w:space="5"/>
          <w:left w:space="5"/>
          <w:bottom w:space="5"/>
          <w:right w:space="5"/>
        </w:pBdr>
        <w:spacing w:after="0"/>
        <w:ind w:left="585"/>
        <w:jc w:val="left"/>
      </w:pPr>
      <w:r>
        <w:rPr>
          <w:rFonts w:ascii="Times New Roman" w:hAnsi="Times New Roman"/>
          <w:b w:val="false"/>
          <w:i w:val="false"/>
          <w:color w:val="000000"/>
          <w:sz w:val="22"/>
        </w:rPr>
        <w:t>(4)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procurement.</w:t>
      </w:r>
    </w:p>
    <w:p>
      <w:pPr>
        <w:pBdr>
          <w:top w:space="5"/>
          <w:left w:space="5"/>
          <w:bottom w:space="5"/>
          <w:right w:space="5"/>
        </w:pBdr>
        <w:spacing w:after="0"/>
        <w:ind w:left="945"/>
        <w:jc w:val="left"/>
      </w:pPr>
      <w:r>
        <w:rPr>
          <w:rFonts w:ascii="Times New Roman" w:hAnsi="Times New Roman"/>
          <w:b w:val="false"/>
          <w:i w:val="false"/>
          <w:color w:val="000000"/>
          <w:sz w:val="22"/>
        </w:rPr>
        <w:t>(ii) Be evaluated by the HCA for performance appraisals, as required by the DoDI 5000.66.</w:t>
      </w:r>
    </w:p>
    <w:p>
      <w:pPr>
        <w:pBdr>
          <w:top w:space="5"/>
          <w:left w:space="5"/>
          <w:bottom w:space="5"/>
          <w:right w:space="5"/>
        </w:pBdr>
        <w:spacing w:after="0"/>
        <w:ind w:left="945"/>
        <w:jc w:val="left"/>
      </w:pPr>
      <w:r>
        <w:rPr>
          <w:rFonts w:ascii="Times New Roman" w:hAnsi="Times New Roman"/>
          <w:b w:val="false"/>
          <w:i w:val="false"/>
          <w:color w:val="000000"/>
          <w:sz w:val="22"/>
        </w:rPr>
        <w:t>(iii) Minimize the potential for undue influence and protects contracting professionals from internal or external pressure to perform improper actions.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(iv) Direct contracting officers to submit Acquisition Critical Incident Reports (ACIRs) identifying time sensitive information needed by senior ASA(ALT) leadership in order to make critical and timely decisions. ACIR shall be submitted via the SharePoint site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https://spcs3.kc.army.mil/asaalt/zp/SitePages/ACIR.aspx</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pcs3.kc.army.mil/asaalt/zp/SitePages/ACIR.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