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**ID__AFARS_5122.1704__ID**</w:t>
      </w:r>
    </w:p>
    <w:p>
      <w:pPr>
        <w:pStyle w:val="Heading3"/>
        <w:spacing w:after="199"/>
        <w:ind w:left="120"/>
        <w:jc w:val="left"/>
      </w:pPr>
      <w:r>
        <w:rPr>
          <w:rFonts w:ascii="Times New Roman" w:hAnsi="Times New Roman"/>
          <w:color w:val="000000"/>
          <w:sz w:val="36"/>
        </w:rPr>
        <w:t>5122.1704</w:t>
      </w:r>
      <w:r>
        <w:rPr>
          <w:rFonts w:ascii="Times New Roman" w:hAnsi="Times New Roman"/>
          <w:color w:val="000000"/>
          <w:sz w:val="36"/>
        </w:rPr>
        <w:t xml:space="preserve"> Violations and remedies.</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ensure that the contracting officer is provided with the report as described in FAR 22.1704(c).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