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**ID__AFARS_5123.803__ID**</w:t>
      </w:r>
    </w:p>
    <w:p>
      <w:pPr>
        <w:pStyle w:val="Heading3"/>
        <w:spacing w:after="199"/>
        <w:ind w:left="120"/>
        <w:jc w:val="left"/>
      </w:pPr>
      <w:r>
        <w:rPr>
          <w:rFonts w:ascii="Times New Roman" w:hAnsi="Times New Roman"/>
          <w:color w:val="000000"/>
          <w:sz w:val="31"/>
        </w:rPr>
        <w:t>5123.803</w:t>
      </w:r>
      <w:r>
        <w:rPr>
          <w:rFonts w:ascii="Times New Roman" w:hAnsi="Times New Roman"/>
          <w:color w:val="000000"/>
          <w:sz w:val="31"/>
        </w:rPr>
        <w:t xml:space="preserve"> Policy.</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Contracts.</w:t>
      </w:r>
    </w:p>
    <w:p>
      <w:pPr>
        <w:pBdr>
          <w:top w:space="5"/>
          <w:left w:space="5"/>
          <w:bottom w:space="5"/>
          <w:right w:space="5"/>
        </w:pBdr>
        <w:spacing w:after="0"/>
        <w:ind w:left="945"/>
        <w:jc w:val="left"/>
      </w:pPr>
      <w:r>
        <w:rPr>
          <w:rFonts w:ascii="Times New Roman" w:hAnsi="Times New Roman"/>
          <w:b w:val="false"/>
          <w:i w:val="false"/>
          <w:color w:val="000000"/>
          <w:sz w:val="22"/>
        </w:rPr>
        <w:t>(i) The organization with primary responsibility for determining the principal specifications and standards cited in the solicitation or contract is responsible for obtaining authorization to include the specification or standard in the contract.</w:t>
      </w:r>
    </w:p>
    <w:p>
      <w:pPr>
        <w:pBdr>
          <w:top w:space="5"/>
          <w:left w:space="5"/>
          <w:bottom w:space="5"/>
          <w:right w:space="5"/>
        </w:pBdr>
        <w:spacing w:after="0"/>
        <w:ind w:left="945"/>
        <w:jc w:val="left"/>
      </w:pPr>
      <w:r>
        <w:rPr>
          <w:rFonts w:ascii="Times New Roman" w:hAnsi="Times New Roman"/>
          <w:b w:val="false"/>
          <w:i w:val="false"/>
          <w:color w:val="000000"/>
          <w:sz w:val="22"/>
        </w:rPr>
        <w:t>(ii) The approving official must be from the technical or program organization with primary responsibility for determining the equipment or systems specifications and standards.</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Modifications.</w:t>
      </w:r>
    </w:p>
    <w:p>
      <w:pPr>
        <w:pBdr>
          <w:top w:space="5"/>
          <w:left w:space="5"/>
          <w:bottom w:space="5"/>
          <w:right w:space="5"/>
        </w:pBdr>
        <w:spacing w:after="0"/>
        <w:ind w:left="945"/>
        <w:jc w:val="left"/>
      </w:pPr>
      <w:r>
        <w:rPr>
          <w:rFonts w:ascii="Times New Roman" w:hAnsi="Times New Roman"/>
          <w:b w:val="false"/>
          <w:i w:val="false"/>
          <w:color w:val="000000"/>
          <w:sz w:val="22"/>
        </w:rPr>
        <w:t>(i) For contracts administered by the Army, the contracting officer must obtain an evaluation and written determination of the suitability of proposed substitutes for ozone-depleting substances from the organization in (1)(i).</w:t>
      </w:r>
    </w:p>
    <w:p>
      <w:pPr>
        <w:pBdr>
          <w:top w:space="5"/>
          <w:left w:space="5"/>
          <w:bottom w:space="5"/>
          <w:right w:space="5"/>
        </w:pBdr>
        <w:spacing w:after="0"/>
        <w:ind w:left="945"/>
        <w:jc w:val="left"/>
      </w:pPr>
      <w:r>
        <w:rPr>
          <w:rFonts w:ascii="Times New Roman" w:hAnsi="Times New Roman"/>
          <w:b w:val="false"/>
          <w:i w:val="false"/>
          <w:color w:val="000000"/>
          <w:sz w:val="22"/>
        </w:rPr>
        <w:t>(ii) The written determination must be based on a certification by a technical representative of the</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Environmental Support Office</w:t>
      </w:r>
    </w:p>
    <w:p>
      <w:pPr>
        <w:pBdr>
          <w:top w:space="5"/>
          <w:left w:space="5"/>
          <w:bottom w:space="5"/>
          <w:right w:space="5"/>
        </w:pBdr>
        <w:spacing w:after="0"/>
        <w:ind w:left="945"/>
        <w:jc w:val="left"/>
      </w:pPr>
      <w:r>
        <w:rPr>
          <w:rFonts w:ascii="Times New Roman" w:hAnsi="Times New Roman"/>
          <w:b w:val="false"/>
          <w:i w:val="false"/>
          <w:color w:val="000000"/>
          <w:sz w:val="22"/>
        </w:rPr>
        <w:t>Headquarters, Department of the Army</w:t>
      </w:r>
    </w:p>
    <w:p>
      <w:pPr>
        <w:pBdr>
          <w:top w:space="5"/>
          <w:left w:space="5"/>
          <w:bottom w:space="5"/>
          <w:right w:space="5"/>
        </w:pBdr>
        <w:spacing w:after="0"/>
        <w:ind w:left="945"/>
        <w:jc w:val="left"/>
      </w:pPr>
      <w:r>
        <w:rPr>
          <w:rFonts w:ascii="Times New Roman" w:hAnsi="Times New Roman"/>
          <w:b w:val="false"/>
          <w:i w:val="false"/>
          <w:color w:val="000000"/>
          <w:sz w:val="22"/>
        </w:rPr>
        <w:t>2800 Crystal Drive, 5th Floor</w:t>
      </w:r>
    </w:p>
    <w:p>
      <w:pPr>
        <w:pBdr>
          <w:top w:space="5"/>
          <w:left w:space="5"/>
          <w:bottom w:space="5"/>
          <w:right w:space="5"/>
        </w:pBdr>
        <w:spacing w:after="0"/>
        <w:ind w:left="945"/>
        <w:jc w:val="left"/>
      </w:pPr>
      <w:r>
        <w:rPr>
          <w:rFonts w:ascii="Times New Roman" w:hAnsi="Times New Roman"/>
          <w:b w:val="false"/>
          <w:i w:val="false"/>
          <w:color w:val="000000"/>
          <w:sz w:val="22"/>
        </w:rPr>
        <w:t>Arlington, VA 22202-3911,</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in coordination with the requiring activity. Elevate any dispute concerning what constitutes a suitable substitute through the requiring activity’s leadership to the Army Acquisition Executive for a final decision.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