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**ID__AFARS_5125.70022__ID**</w:t>
      </w:r>
    </w:p>
    <w:p>
      <w:pPr>
        <w:pStyle w:val="Heading4"/>
        <w:spacing w:after="269"/>
        <w:ind w:left="120"/>
        <w:jc w:val="left"/>
      </w:pPr>
      <w:r>
        <w:rPr>
          <w:rFonts w:ascii="Times New Roman" w:hAnsi="Times New Roman"/>
          <w:i w:val="false"/>
          <w:color w:val="000000"/>
          <w:sz w:val="24"/>
        </w:rPr>
        <w:t>5125.7002-2</w:t>
      </w:r>
      <w:r>
        <w:rPr>
          <w:rFonts w:ascii="Times New Roman" w:hAnsi="Times New Roman"/>
          <w:i w:val="false"/>
          <w:color w:val="000000"/>
          <w:sz w:val="24"/>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(b)(1)(ii)(</w:t>
      </w:r>
      <w:r>
        <w:rPr>
          <w:rFonts w:ascii="Times New Roman" w:hAnsi="Times New Roman"/>
          <w:b w:val="false"/>
          <w:i/>
          <w:color w:val="000000"/>
          <w:sz w:val="22"/>
        </w:rPr>
        <w:t>1</w:t>
      </w:r>
      <w:r>
        <w:rPr>
          <w:rFonts w:ascii="Times New Roman" w:hAnsi="Times New Roman"/>
          <w:b w:val="false"/>
          <w:i w:val="false"/>
          <w:color w:val="000000"/>
          <w:sz w:val="22"/>
        </w:rPr>
        <w:t>) The Secretary of the Army, on a nondelegable basis, is responsible for approving all domestic nonavailability determinations under 10 U.S.C. 2533a (Berry Amendment). (See DFARS 225.7002-2(b)(1)). The contracting officer shall not release the solicitation until the Secretary approves the determination.</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Submit all requests for an exception under this provision through procurement channels to the Deputy Assistant Secretary of the Army (Procurement) at the address located in 5101.290(b)(2)(ii)(C). Submit requests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an exception from the Berry Amendment are unacceptable.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