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**ID__AFARS_5127.7011__ID**</w:t>
      </w:r>
    </w:p>
    <w:p>
      <w:pPr>
        <w:pStyle w:val="Heading3"/>
        <w:spacing w:after="199"/>
        <w:ind w:left="120"/>
        <w:jc w:val="left"/>
      </w:pPr>
      <w:r>
        <w:rPr>
          <w:rFonts w:ascii="Times New Roman" w:hAnsi="Times New Roman"/>
          <w:color w:val="000000"/>
          <w:sz w:val="31"/>
        </w:rPr>
        <w:t>5127.7011</w:t>
      </w:r>
      <w:r>
        <w:rPr>
          <w:rFonts w:ascii="Times New Roman" w:hAnsi="Times New Roman"/>
          <w:color w:val="000000"/>
          <w:sz w:val="31"/>
        </w:rPr>
        <w:t xml:space="preserve"> Procurement of rights in inventions, patents, and copyrights.</w:t>
      </w:r>
    </w:p>
    <w:p>
      <w:pPr>
        <w:pBdr>
          <w:top w:space="5"/>
          <w:left w:space="5"/>
          <w:bottom w:space="5"/>
          <w:right w:space="5"/>
        </w:pBdr>
        <w:spacing w:after="0"/>
        <w:ind w:left="585"/>
        <w:jc w:val="left"/>
      </w:pPr>
      <w:r>
        <w:rPr>
          <w:rFonts w:ascii="Times New Roman" w:hAnsi="Times New Roman"/>
          <w:b w:val="false"/>
          <w:i w:val="false"/>
          <w:color w:val="000000"/>
          <w:sz w:val="22"/>
        </w:rPr>
        <w:t>(1) Subject to the limitations in DFARS subpart 227.70 and subpart AFARS 5127.70, the following may acquire the items and rights described in 10 U.S.C. 2386 and may enter into agreements in settlement of resulting claims:</w:t>
      </w:r>
    </w:p>
    <w:p>
      <w:pPr>
        <w:pBdr>
          <w:top w:space="5"/>
          <w:left w:space="5"/>
          <w:bottom w:space="5"/>
          <w:right w:space="5"/>
        </w:pBdr>
        <w:spacing w:after="0"/>
        <w:ind w:left="945"/>
        <w:jc w:val="left"/>
      </w:pPr>
      <w:r>
        <w:rPr>
          <w:rFonts w:ascii="Times New Roman" w:hAnsi="Times New Roman"/>
          <w:b w:val="false"/>
          <w:i w:val="false"/>
          <w:color w:val="000000"/>
          <w:sz w:val="22"/>
        </w:rPr>
        <w:t>(i) The Commander, AMC.</w:t>
      </w:r>
    </w:p>
    <w:p>
      <w:pPr>
        <w:pBdr>
          <w:top w:space="5"/>
          <w:left w:space="5"/>
          <w:bottom w:space="5"/>
          <w:right w:space="5"/>
        </w:pBdr>
        <w:spacing w:after="0"/>
        <w:ind w:left="945"/>
        <w:jc w:val="left"/>
      </w:pPr>
      <w:r>
        <w:rPr>
          <w:rFonts w:ascii="Times New Roman" w:hAnsi="Times New Roman"/>
          <w:b w:val="false"/>
          <w:i w:val="false"/>
          <w:color w:val="000000"/>
          <w:sz w:val="22"/>
        </w:rPr>
        <w:t>(ii) The Chief of Engineers.</w:t>
      </w:r>
    </w:p>
    <w:p>
      <w:pPr>
        <w:pBdr>
          <w:top w:space="5"/>
          <w:left w:space="5"/>
          <w:bottom w:space="5"/>
          <w:right w:space="5"/>
        </w:pBdr>
        <w:spacing w:after="0"/>
        <w:ind w:left="945"/>
        <w:jc w:val="left"/>
      </w:pPr>
      <w:r>
        <w:rPr>
          <w:rFonts w:ascii="Times New Roman" w:hAnsi="Times New Roman"/>
          <w:b w:val="false"/>
          <w:i w:val="false"/>
          <w:color w:val="000000"/>
          <w:sz w:val="22"/>
        </w:rPr>
        <w:t>(iii) The Surgeon General.</w:t>
      </w:r>
    </w:p>
    <w:p>
      <w:pPr>
        <w:pBdr>
          <w:top w:space="5"/>
          <w:left w:space="5"/>
          <w:bottom w:space="5"/>
          <w:right w:space="5"/>
        </w:pBdr>
        <w:spacing w:after="0"/>
        <w:ind w:left="945"/>
        <w:jc w:val="left"/>
      </w:pPr>
      <w:r>
        <w:rPr>
          <w:rFonts w:ascii="Times New Roman" w:hAnsi="Times New Roman"/>
          <w:b w:val="false"/>
          <w:i w:val="false"/>
          <w:color w:val="000000"/>
          <w:sz w:val="22"/>
        </w:rPr>
        <w:t>(iv) The Commander, U.S. Army Space and Missile Defense Command.</w:t>
      </w:r>
    </w:p>
    <w:p>
      <w:pPr>
        <w:pBdr>
          <w:top w:space="5"/>
          <w:left w:space="5"/>
          <w:bottom w:space="5"/>
          <w:right w:space="5"/>
        </w:pBdr>
        <w:spacing w:after="0"/>
        <w:ind w:left="585"/>
        <w:jc w:val="left"/>
      </w:pPr>
      <w:r>
        <w:rPr>
          <w:rFonts w:ascii="Times New Roman" w:hAnsi="Times New Roman"/>
          <w:b w:val="false"/>
          <w:i w:val="false"/>
          <w:color w:val="000000"/>
          <w:sz w:val="22"/>
        </w:rPr>
        <w:t>(2) Other contracting activities must obtain written approval of any proposed agreement from the addressee at 5101.290(b)(1) through the Chief, Regulatory Law and Intellectual Property Law Division, OTJAG, (see 5127.201-2 for address), except for agreements for acquisition of the right to reproduce copyrighted material when acquisition cost is $2,500 or less.</w:t>
      </w:r>
    </w:p>
    <w:p>
      <w:pPr>
        <w:pBdr>
          <w:top w:space="5"/>
          <w:left w:space="5"/>
          <w:bottom w:space="5"/>
          <w:right w:space="5"/>
        </w:pBdr>
        <w:spacing w:after="0"/>
        <w:ind w:left="585"/>
        <w:jc w:val="left"/>
      </w:pPr>
      <w:r>
        <w:rPr>
          <w:rFonts w:ascii="Times New Roman" w:hAnsi="Times New Roman"/>
          <w:b w:val="false"/>
          <w:i w:val="false"/>
          <w:color w:val="000000"/>
          <w:sz w:val="22"/>
        </w:rPr>
        <w:t>(3) Immediately send all communications relating to proposed patent licenses or assignment to the chief patent counsel or legal officer supporting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(4)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