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**ID__AFARS_5128.2037__ID**</w:t>
      </w:r>
    </w:p>
    <w:p>
      <w:pPr>
        <w:pStyle w:val="Heading4"/>
        <w:spacing w:after="269"/>
        <w:ind w:left="120"/>
        <w:jc w:val="left"/>
      </w:pPr>
      <w:r>
        <w:rPr>
          <w:rFonts w:ascii="Times New Roman" w:hAnsi="Times New Roman"/>
          <w:i w:val="false"/>
          <w:color w:val="000000"/>
          <w:sz w:val="24"/>
        </w:rPr>
        <w:t>5128.203-7</w:t>
      </w:r>
      <w:r>
        <w:rPr>
          <w:rFonts w:ascii="Times New Roman" w:hAnsi="Times New Roman"/>
          <w:i w:val="false"/>
          <w:color w:val="000000"/>
          <w:sz w:val="24"/>
        </w:rPr>
        <w:t xml:space="preserve"> Exclusion of individual sureties.</w:t>
      </w:r>
    </w:p>
    <w:p>
      <w:pPr>
        <w:pBdr>
          <w:top w:space="5"/>
          <w:left w:space="5"/>
          <w:bottom w:space="5"/>
          <w:right w:space="5"/>
        </w:pBdr>
        <w:spacing w:after="0"/>
        <w:ind w:left="225"/>
        <w:jc w:val="left"/>
      </w:pPr>
      <w:r>
        <w:rPr>
          <w:rFonts w:ascii="Times New Roman" w:hAnsi="Times New Roman"/>
          <w:b w:val="false"/>
          <w:i w:val="false"/>
          <w:color w:val="000000"/>
          <w:sz w:val="22"/>
        </w:rPr>
        <w:t>(d) Send the determination and findings justifying acceptance to the HCA. If the HCA concurs, send the request and concurrence through the addressee in 5101.290(b)(5) to the Assistant Secretary of the Army (Acquisition, Logistics and Technology) for a determination.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