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**ID__AFARS_5128.3111__ID**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5128.311-1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head of the contracting activity may waive the requirement at DFARS 228.311-1. See Appendix GG for further delegation. When required in paragraph (g) of the clause at FAR 52.228-7, Insurance – Liability to Third Persons, the contracting officer must send a notification to the following address with a request to inform the Director, Torts Branch, Civil Division, Attorney General: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JALS-LTT Army Litigation Division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U.S. Army Legal Services Agency (USALSA)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9275 Gunston Road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Fort Belvoir, VA 22060.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