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5130</w:t>
      </w:r>
      <w:r>
        <w:rPr>
          <w:rFonts w:ascii="Times New Roman" w:hAnsi="Times New Roman"/>
          <w:color w:val="000000"/>
          <w:sz w:val="48"/>
        </w:rPr>
        <w:t xml:space="preserve"> Cost Accounting Standards Administration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5130.2 – CAS Program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5130.201 Contract requirements.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5130.201-5 Waiver.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5130.202 Disclosure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5130.202-6 Responsibilities.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30.2.dita#AFARS_Subpart_5130.2" Type="http://schemas.openxmlformats.org/officeDocument/2006/relationships/hyperlink" Id="rId4"/>
    <Relationship TargetMode="External" Target="5130.201.dita#AFARS_5130.201" Type="http://schemas.openxmlformats.org/officeDocument/2006/relationships/hyperlink" Id="rId5"/>
    <Relationship TargetMode="External" Target="5130.2015.dita#AFARS_5130.2015" Type="http://schemas.openxmlformats.org/officeDocument/2006/relationships/hyperlink" Id="rId6"/>
    <Relationship TargetMode="External" Target="5130.202.dita#AFARS_5130.202" Type="http://schemas.openxmlformats.org/officeDocument/2006/relationships/hyperlink" Id="rId7"/>
    <Relationship TargetMode="External" Target="5130.2026.dita#AFARS_5130.2026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