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**ID__AFARS__PART_5131__ID**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5131</w:t>
      </w:r>
      <w:r>
        <w:rPr>
          <w:rFonts w:ascii="Times New Roman" w:hAnsi="Times New Roman"/>
          <w:color w:val="000000"/>
          <w:sz w:val="48"/>
        </w:rPr>
        <w:t xml:space="preserve"> Contract Cost Principles and Procedures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5131.2 – Contracts with Commercial Organizations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5131.205 Selected costs.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5131.205-6 Compensation for personal services.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31.2.dita#AFARS_Subpart_5131.2" Type="http://schemas.openxmlformats.org/officeDocument/2006/relationships/hyperlink" Id="rId4"/>
    <Relationship TargetMode="External" Target="5131.205.dita#AFARS_5131.205" Type="http://schemas.openxmlformats.org/officeDocument/2006/relationships/hyperlink" Id="rId5"/>
    <Relationship TargetMode="External" Target="5131.2056.dita#AFARS_5131.2056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