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**ID__AFARS_5132.111__ID**</w:t>
      </w:r>
    </w:p>
    <w:p>
      <w:pPr>
        <w:pStyle w:val="Heading3"/>
        <w:spacing w:after="199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5132.111</w:t>
      </w:r>
      <w:r>
        <w:rPr>
          <w:rFonts w:ascii="Times New Roman" w:hAnsi="Times New Roman"/>
          <w:color w:val="000000"/>
          <w:sz w:val="36"/>
        </w:rPr>
        <w:t xml:space="preserve"> Contract clauses for non–commercial purchases.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(a)(7) The contracting officer must document the contract file with the rationale to support the amount of payments withheld under FAR 52.232-7(a)(7).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