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**ID__AFARS_5103.1044__ID**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5103.104-4</w:t>
      </w:r>
      <w:r>
        <w:rPr>
          <w:rFonts w:ascii="Times New Roman" w:hAnsi="Times New Roman"/>
          <w:i w:val="false"/>
          <w:color w:val="000000"/>
          <w:sz w:val="24"/>
        </w:rPr>
        <w:t xml:space="preserve"> Disclosure, protection, and marking of contractor bid or proposal information and source selection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Personnel serving in the following positions are authorized access to contractor bid or proposal information and source selection information to the extent necessary to perform their official duties: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Personnel assigned to the Office of the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Assistant Secretary of the Army for Acquisition, Logistics and Technology (</w:t>
      </w:r>
      <w:r>
        <w:rPr>
          <w:rFonts w:ascii="Times New Roman" w:hAnsi="Times New Roman"/>
          <w:b w:val="false"/>
          <w:i/>
          <w:color w:val="000000"/>
          <w:sz w:val="22"/>
        </w:rPr>
        <w:t>ASA</w:t>
      </w:r>
      <w:r>
        <w:rPr>
          <w:rFonts w:ascii="Times New Roman" w:hAnsi="Times New Roman"/>
          <w:b/>
          <w:i w:val="false"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</w:rPr>
        <w:t>ALT)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Office of the Army General Counsel, who are performing Headquarters, Department of the Army level oversight.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Personnel participating in the evaluation of an offeror’s or bidder’s proposal or in the review and defense of protests.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Personnel in the responsible contracting office, along with supporting legal and small business office personnel.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The initiator of the procurement request, to include the official having principal technical cognizance over the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(v) Personnel assigned to the Defense Contract Audit Agency and contract administration offices of the DoD, who are supporting the procurement.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(vi) Other personnel whom the Deputy Assistant Secretary of the Army (Procurement), the head of the contracting activity (HCA), contracting officer, or the source selection authority designates on an individual basis.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(vii) Supervisors, at any level, of the personnel listed in paragraphs (a)(i) through (vi) of this section.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