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**ID__AFARS_5133.10390__ID**</w:t>
      </w:r>
    </w:p>
    <w:p>
      <w:pPr>
        <w:pStyle w:val="Heading4"/>
        <w:spacing w:after="269"/>
        <w:ind w:left="120"/>
        <w:jc w:val="left"/>
      </w:pPr>
      <w:r>
        <w:rPr>
          <w:rFonts w:ascii="Times New Roman" w:hAnsi="Times New Roman"/>
          <w:i w:val="false"/>
          <w:color w:val="000000"/>
          <w:sz w:val="31"/>
        </w:rPr>
        <w:t>5133.103-90</w:t>
      </w:r>
      <w:r>
        <w:rPr>
          <w:rFonts w:ascii="Times New Roman" w:hAnsi="Times New Roman"/>
          <w:i w:val="false"/>
          <w:color w:val="000000"/>
          <w:sz w:val="31"/>
        </w:rPr>
        <w:t xml:space="preserve"> Annual agency bid protest report.</w:t>
      </w:r>
    </w:p>
    <w:p>
      <w:pPr>
        <w:pStyle w:val="Normal"/>
        <w:pBdr>
          <w:top w:space="5"/>
          <w:left w:space="5"/>
          <w:bottom w:space="5"/>
          <w:right w:space="5"/>
        </w:pBdr>
        <w:spacing w:after="0"/>
        <w:ind w:left="225"/>
        <w:jc w:val="left"/>
      </w:pPr>
      <w:r>
        <w:rPr>
          <w:rFonts w:ascii="Times New Roman" w:hAnsi="Times New Roman"/>
          <w:color w:val="000000"/>
        </w:rPr>
        <w:t>HCAs must prepare an annual report of agency bid protests and send it to the addressee in AFARS 5101.290(b)(2)(ii)(B) not later than 30 calendar days following the end of the fiscal year. The analysis must include –</w:t>
      </w:r>
    </w:p>
    <w:p>
      <w:pPr>
        <w:pBdr>
          <w:top w:space="5"/>
          <w:left w:space="5"/>
          <w:bottom w:space="5"/>
          <w:right w:space="5"/>
        </w:pBdr>
        <w:spacing w:after="0"/>
        <w:ind w:left="225"/>
        <w:jc w:val="left"/>
      </w:pPr>
      <w:r>
        <w:rPr>
          <w:rFonts w:ascii="Times New Roman" w:hAnsi="Times New Roman"/>
          <w:b w:val="false"/>
          <w:i w:val="false"/>
          <w:color w:val="000000"/>
          <w:sz w:val="22"/>
        </w:rPr>
        <w:t>(a) The number of protests received during the reporting period, to include their disposition;</w:t>
      </w:r>
    </w:p>
    <w:p>
      <w:pPr>
        <w:pBdr>
          <w:top w:space="5"/>
          <w:left w:space="5"/>
          <w:bottom w:space="5"/>
          <w:right w:space="5"/>
        </w:pBdr>
        <w:spacing w:after="0"/>
        <w:ind w:left="225"/>
        <w:jc w:val="left"/>
      </w:pPr>
      <w:r>
        <w:rPr>
          <w:rFonts w:ascii="Times New Roman" w:hAnsi="Times New Roman"/>
          <w:b w:val="false"/>
          <w:i w:val="false"/>
          <w:color w:val="000000"/>
          <w:sz w:val="22"/>
        </w:rPr>
        <w:t>(b) An assessment of the causes of the most frequently recurring issues, including a description of all corrective actions taken to include the award of protest costs;</w:t>
      </w:r>
    </w:p>
    <w:p>
      <w:pPr>
        <w:pBdr>
          <w:top w:space="5"/>
          <w:left w:space="5"/>
          <w:bottom w:space="5"/>
          <w:right w:space="5"/>
        </w:pBdr>
        <w:spacing w:after="0"/>
        <w:ind w:left="225"/>
        <w:jc w:val="left"/>
      </w:pPr>
      <w:r>
        <w:rPr>
          <w:rFonts w:ascii="Times New Roman" w:hAnsi="Times New Roman"/>
          <w:b w:val="false"/>
          <w:i w:val="false"/>
          <w:color w:val="000000"/>
          <w:sz w:val="22"/>
        </w:rPr>
        <w:t>(c) The distribution of protests by subordinate contracting offices; and</w:t>
      </w:r>
    </w:p>
    <w:p>
      <w:pPr>
        <w:pBdr>
          <w:top w:space="5"/>
          <w:left w:space="5"/>
          <w:bottom w:space="5"/>
          <w:right w:space="5"/>
        </w:pBdr>
        <w:spacing w:after="0"/>
        <w:ind w:left="225"/>
        <w:jc w:val="left"/>
      </w:pPr>
      <w:r>
        <w:rPr>
          <w:rFonts w:ascii="Times New Roman" w:hAnsi="Times New Roman"/>
          <w:b w:val="false"/>
          <w:i w:val="false"/>
          <w:color w:val="000000"/>
          <w:sz w:val="22"/>
        </w:rPr>
        <w:t>(d) Any additional information considered necessary to a full understanding of the efficiency and effectiveness of the activity’s agency protest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