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5133.170</w:t>
      </w:r>
      <w:r>
        <w:rPr>
          <w:rFonts w:ascii="Times New Roman" w:hAnsi="Times New Roman"/>
          <w:color w:val="000000"/>
          <w:sz w:val="36"/>
        </w:rPr>
        <w:t xml:space="preserve"> Briefing requirement for protested acquisitions valued at $1 billion or more.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