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**ID__AFARS_5133.1901__ID**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5133.190-1</w:t>
      </w:r>
      <w:r>
        <w:rPr>
          <w:rFonts w:ascii="Times New Roman" w:hAnsi="Times New Roman"/>
          <w:i w:val="false"/>
          <w:color w:val="000000"/>
          <w:sz w:val="31"/>
        </w:rPr>
        <w:t xml:space="preserve"> Bid protest action report.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Within 15 calendar days following notification of resolution of a GAO protest, the contracting officer must send a bid protest action report in the format in 5153.303-6 (double spaced between item numbers) to the following addressees: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AMC contracting activities send the report to the addressee in 5101.290(b)(7).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USACE contracting activities send the report to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U.S. Army Corps of Engineers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CECC-C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441 G St., N.W.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Washington, DC 20314-1000.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All other contracting activities send the report to the addressee in 5133.104(a)(3)(i)(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)(</w:t>
      </w:r>
      <w:r>
        <w:rPr>
          <w:rFonts w:ascii="Times New Roman" w:hAnsi="Times New Roman"/>
          <w:b w:val="false"/>
          <w:i/>
          <w:color w:val="000000"/>
          <w:sz w:val="22"/>
        </w:rPr>
        <w:t>iii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