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**ID__AFARS_5133.21292__ID**</w:t>
      </w:r>
    </w:p>
    <w:p>
      <w:pPr>
        <w:pStyle w:val="Heading4"/>
        <w:spacing w:after="269"/>
        <w:ind w:left="120"/>
        <w:jc w:val="left"/>
      </w:pPr>
      <w:r>
        <w:rPr>
          <w:rFonts w:ascii="Times New Roman" w:hAnsi="Times New Roman"/>
          <w:i w:val="false"/>
          <w:color w:val="000000"/>
          <w:sz w:val="31"/>
        </w:rPr>
        <w:t>5133.212-92</w:t>
      </w:r>
      <w:r>
        <w:rPr>
          <w:rFonts w:ascii="Times New Roman" w:hAnsi="Times New Roman"/>
          <w:i w:val="false"/>
          <w:color w:val="000000"/>
          <w:sz w:val="31"/>
        </w:rPr>
        <w:t xml:space="preserve"> Comprehensive report to the Chief Trial Attorney.</w:t>
      </w:r>
    </w:p>
    <w:p>
      <w:pPr>
        <w:pBdr>
          <w:top w:space="5"/>
          <w:left w:space="5"/>
          <w:bottom w:space="5"/>
          <w:right w:space="5"/>
        </w:pBdr>
        <w:spacing w:after="0"/>
        <w:ind w:left="225"/>
        <w:jc w:val="left"/>
      </w:pPr>
      <w:r>
        <w:rPr>
          <w:rFonts w:ascii="Times New Roman" w:hAnsi="Times New Roman"/>
          <w:b w:val="false"/>
          <w:i w:val="false"/>
          <w:color w:val="000000"/>
          <w:sz w:val="22"/>
        </w:rPr>
        <w:t>(a) Concurrent with forwarding the appeal file to the ASBCA, the contracting officer must send the following documents to the addressee in 5133.104(a)(3)(i)(</w:t>
      </w:r>
      <w:r>
        <w:rPr>
          <w:rFonts w:ascii="Times New Roman" w:hAnsi="Times New Roman"/>
          <w:b w:val="false"/>
          <w:i/>
          <w:color w:val="000000"/>
          <w:sz w:val="22"/>
        </w:rPr>
        <w:t>1</w:t>
      </w:r>
      <w:r>
        <w:rPr>
          <w:rFonts w:ascii="Times New Roman" w:hAnsi="Times New Roman"/>
          <w:b w:val="false"/>
          <w:i w:val="false"/>
          <w:color w:val="000000"/>
          <w:sz w:val="22"/>
        </w:rPr>
        <w:t>)(</w:t>
      </w:r>
      <w:r>
        <w:rPr>
          <w:rFonts w:ascii="Times New Roman" w:hAnsi="Times New Roman"/>
          <w:b w:val="false"/>
          <w:i/>
          <w:color w:val="000000"/>
          <w:sz w:val="22"/>
        </w:rPr>
        <w:t>ii</w:t>
      </w:r>
      <w:r>
        <w:rPr>
          <w:rFonts w:ascii="Times New Roman" w:hAnsi="Times New Roman"/>
          <w:b w:val="false"/>
          <w:i w:val="false"/>
          <w:color w:val="000000"/>
          <w:sz w:val="22"/>
        </w:rPr>
        <w:t>) or (</w:t>
      </w:r>
      <w:r>
        <w:rPr>
          <w:rFonts w:ascii="Times New Roman" w:hAnsi="Times New Roman"/>
          <w:b w:val="false"/>
          <w:i/>
          <w:color w:val="000000"/>
          <w:sz w:val="22"/>
        </w:rPr>
        <w:t>iii</w:t>
      </w:r>
      <w:r>
        <w:rPr>
          <w:rFonts w:ascii="Times New Roman" w:hAnsi="Times New Roman"/>
          <w:b w:val="false"/>
          <w:i w:val="false"/>
          <w:color w:val="000000"/>
          <w:sz w:val="22"/>
        </w:rPr>
        <w:t>) as applicable with a copy to the reviewing official designated in accordance with 5133.212-93:</w:t>
      </w:r>
    </w:p>
    <w:p>
      <w:pPr>
        <w:pBdr>
          <w:top w:space="5"/>
          <w:left w:space="5"/>
          <w:bottom w:space="5"/>
          <w:right w:space="5"/>
        </w:pBdr>
        <w:spacing w:after="0"/>
        <w:ind w:left="585"/>
        <w:jc w:val="left"/>
      </w:pPr>
      <w:r>
        <w:rPr>
          <w:rFonts w:ascii="Times New Roman" w:hAnsi="Times New Roman"/>
          <w:b w:val="false"/>
          <w:i w:val="false"/>
          <w:color w:val="000000"/>
          <w:sz w:val="22"/>
        </w:rPr>
        <w:t>(1) A copy of the appeal file.</w:t>
      </w:r>
    </w:p>
    <w:p>
      <w:pPr>
        <w:pBdr>
          <w:top w:space="5"/>
          <w:left w:space="5"/>
          <w:bottom w:space="5"/>
          <w:right w:space="5"/>
        </w:pBdr>
        <w:spacing w:after="0"/>
        <w:ind w:left="585"/>
        <w:jc w:val="left"/>
      </w:pPr>
      <w:r>
        <w:rPr>
          <w:rFonts w:ascii="Times New Roman" w:hAnsi="Times New Roman"/>
          <w:b w:val="false"/>
          <w:i w:val="false"/>
          <w:color w:val="000000"/>
          <w:sz w:val="22"/>
        </w:rPr>
        <w:t>(2) A trial attorney’s litigation file, except the report in paragraph 5-2e(4) of AR 335-15. The contracting officer shall not provide this report to the ASBCA or the contractor. The litigation file shall include the information listed in paragraphs (2)(i) through (iv) of this section.</w:t>
      </w:r>
    </w:p>
    <w:p>
      <w:pPr>
        <w:pBdr>
          <w:top w:space="5"/>
          <w:left w:space="5"/>
          <w:bottom w:space="5"/>
          <w:right w:space="5"/>
        </w:pBdr>
        <w:spacing w:after="0"/>
        <w:ind w:left="945"/>
        <w:jc w:val="left"/>
      </w:pPr>
      <w:r>
        <w:rPr>
          <w:rFonts w:ascii="Times New Roman" w:hAnsi="Times New Roman"/>
          <w:b w:val="false"/>
          <w:i w:val="false"/>
          <w:color w:val="000000"/>
          <w:sz w:val="22"/>
        </w:rPr>
        <w:t>(i) The names, current addresses and telephone numbers of all potential witnesses (including the contractor’s) who have information concerning the facts in dispute.</w:t>
      </w:r>
    </w:p>
    <w:p>
      <w:pPr>
        <w:pBdr>
          <w:top w:space="5"/>
          <w:left w:space="5"/>
          <w:bottom w:space="5"/>
          <w:right w:space="5"/>
        </w:pBdr>
        <w:spacing w:after="0"/>
        <w:ind w:left="945"/>
        <w:jc w:val="left"/>
      </w:pPr>
      <w:r>
        <w:rPr>
          <w:rFonts w:ascii="Times New Roman" w:hAnsi="Times New Roman"/>
          <w:b w:val="false"/>
          <w:i w:val="false"/>
          <w:color w:val="000000"/>
          <w:sz w:val="22"/>
        </w:rPr>
        <w:t>(ii) A signed statement of each Government witness itemizing personal knowledge of the facts to which the witness will testify under oath at hearing, or a summary if it is impossible to obtain a signed statement. Include the following:</w:t>
      </w:r>
    </w:p>
    <w:p>
      <w:pPr>
        <w:pBdr>
          <w:top w:space="5"/>
          <w:left w:space="5"/>
          <w:bottom w:space="5"/>
          <w:right w:space="5"/>
        </w:pBdr>
        <w:spacing w:after="0"/>
        <w:ind w:left="1305"/>
        <w:jc w:val="left"/>
      </w:pPr>
      <w:r>
        <w:rPr>
          <w:rFonts w:ascii="Times New Roman" w:hAnsi="Times New Roman"/>
          <w:b w:val="false"/>
          <w:i w:val="false"/>
          <w:color w:val="000000"/>
          <w:sz w:val="22"/>
        </w:rPr>
        <w:t>(A) Background and circumstances surrounding the generation of pertinent documents.</w:t>
      </w:r>
    </w:p>
    <w:p>
      <w:pPr>
        <w:pBdr>
          <w:top w:space="5"/>
          <w:left w:space="5"/>
          <w:bottom w:space="5"/>
          <w:right w:space="5"/>
        </w:pBdr>
        <w:spacing w:after="0"/>
        <w:ind w:left="1305"/>
        <w:jc w:val="left"/>
      </w:pPr>
      <w:r>
        <w:rPr>
          <w:rFonts w:ascii="Times New Roman" w:hAnsi="Times New Roman"/>
          <w:b w:val="false"/>
          <w:i w:val="false"/>
          <w:color w:val="000000"/>
          <w:sz w:val="22"/>
        </w:rPr>
        <w:t>(B) Explanation, basis and/or rationale of those portions of the available documents which will require clarification at the hearing.</w:t>
      </w:r>
    </w:p>
    <w:p>
      <w:pPr>
        <w:pBdr>
          <w:top w:space="5"/>
          <w:left w:space="5"/>
          <w:bottom w:space="5"/>
          <w:right w:space="5"/>
        </w:pBdr>
        <w:spacing w:after="0"/>
        <w:ind w:left="1305"/>
        <w:jc w:val="left"/>
      </w:pPr>
      <w:r>
        <w:rPr>
          <w:rFonts w:ascii="Times New Roman" w:hAnsi="Times New Roman"/>
          <w:b w:val="false"/>
          <w:i w:val="false"/>
          <w:color w:val="000000"/>
          <w:sz w:val="22"/>
        </w:rPr>
        <w:t>(C) List of any facts and events not shown by available documents.</w:t>
      </w:r>
    </w:p>
    <w:p>
      <w:pPr>
        <w:pBdr>
          <w:top w:space="5"/>
          <w:left w:space="5"/>
          <w:bottom w:space="5"/>
          <w:right w:space="5"/>
        </w:pBdr>
        <w:spacing w:after="0"/>
        <w:ind w:left="1305"/>
        <w:jc w:val="left"/>
      </w:pPr>
      <w:r>
        <w:rPr>
          <w:rFonts w:ascii="Times New Roman" w:hAnsi="Times New Roman"/>
          <w:b w:val="false"/>
          <w:i w:val="false"/>
          <w:color w:val="000000"/>
          <w:sz w:val="22"/>
        </w:rPr>
        <w:t>(D) Identification of any other persons who have personal knowledge of pertinent facts.</w:t>
      </w:r>
    </w:p>
    <w:p>
      <w:pPr>
        <w:pBdr>
          <w:top w:space="5"/>
          <w:left w:space="5"/>
          <w:bottom w:space="5"/>
          <w:right w:space="5"/>
        </w:pBdr>
        <w:spacing w:after="0"/>
        <w:ind w:left="1305"/>
        <w:jc w:val="left"/>
      </w:pPr>
      <w:r>
        <w:rPr>
          <w:rFonts w:ascii="Times New Roman" w:hAnsi="Times New Roman"/>
          <w:b w:val="false"/>
          <w:i w:val="false"/>
          <w:color w:val="000000"/>
          <w:sz w:val="22"/>
        </w:rPr>
        <w:t>(E) A statement regarding the expected availability of the witness for the hearing.</w:t>
      </w:r>
    </w:p>
    <w:p>
      <w:pPr>
        <w:pBdr>
          <w:top w:space="5"/>
          <w:left w:space="5"/>
          <w:bottom w:space="5"/>
          <w:right w:space="5"/>
        </w:pBdr>
        <w:spacing w:after="0"/>
        <w:ind w:left="945"/>
        <w:jc w:val="left"/>
      </w:pPr>
      <w:r>
        <w:rPr>
          <w:rFonts w:ascii="Times New Roman" w:hAnsi="Times New Roman"/>
          <w:b w:val="false"/>
          <w:i w:val="false"/>
          <w:color w:val="000000"/>
          <w:sz w:val="22"/>
        </w:rPr>
        <w:t>(iii) An analysis for the Chief Trial Attorney discussing the contractor’s individual allegations and overall position with an opinion of the validity of each, and an appraisal of the strengths and weaknesses apparent in both parties’ positions.</w:t>
      </w:r>
    </w:p>
    <w:p>
      <w:pPr>
        <w:pBdr>
          <w:top w:space="5"/>
          <w:left w:space="5"/>
          <w:bottom w:space="5"/>
          <w:right w:space="5"/>
        </w:pBdr>
        <w:spacing w:after="0"/>
        <w:ind w:left="945"/>
        <w:jc w:val="left"/>
      </w:pPr>
      <w:r>
        <w:rPr>
          <w:rFonts w:ascii="Times New Roman" w:hAnsi="Times New Roman"/>
          <w:b w:val="false"/>
          <w:i w:val="false"/>
          <w:color w:val="000000"/>
          <w:sz w:val="22"/>
        </w:rPr>
        <w:t>(iv) A memorandum by the legal advisor or the official making the decision, with input from legal counsel, setting forth an analysis of the legal issues involved in the dispute, including comments about the adequacy of the findings of fact and the legal sufficiency of the decision.</w:t>
      </w:r>
    </w:p>
    <w:p>
      <w:pPr>
        <w:pBdr>
          <w:top w:space="5"/>
          <w:left w:space="5"/>
          <w:bottom w:space="5"/>
          <w:right w:space="5"/>
        </w:pBdr>
        <w:spacing w:after="0"/>
        <w:ind w:left="225"/>
        <w:jc w:val="left"/>
      </w:pPr>
      <w:r>
        <w:rPr>
          <w:rFonts w:ascii="Times New Roman" w:hAnsi="Times New Roman"/>
          <w:b w:val="false"/>
          <w:i w:val="false"/>
          <w:color w:val="000000"/>
          <w:sz w:val="22"/>
        </w:rPr>
        <w:t>(b) The contracting officer must send a copy of all correspondence, and other data pertinent to the dispute, to the Chief Trial Attorney. This includes all documents received after submitting the trial attorney’s litigation. The contracting officer shall forward copies to the reviewing official.</w:t>
      </w:r>
    </w:p>
    <w:p>
      <w:pPr>
        <w:pBdr>
          <w:top w:space="5"/>
          <w:left w:space="5"/>
          <w:bottom w:space="5"/>
          <w:right w:space="5"/>
        </w:pBdr>
        <w:spacing w:after="0"/>
        <w:ind w:left="225"/>
        <w:jc w:val="left"/>
      </w:pPr>
      <w:r>
        <w:rPr>
          <w:rFonts w:ascii="Times New Roman" w:hAnsi="Times New Roman"/>
          <w:b w:val="false"/>
          <w:i w:val="false"/>
          <w:color w:val="000000"/>
          <w:sz w:val="22"/>
        </w:rPr>
        <w:t>(c) The Chief Trial Attorney may, upon discovery of new facts or circumstances, have the reviewing official reconsider the matter.</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