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**ID__AFARS_5133.21293__ID**</w:t>
      </w:r>
    </w:p>
    <w:p>
      <w:pPr>
        <w:pStyle w:val="Heading4"/>
        <w:spacing w:after="269"/>
        <w:ind w:left="120"/>
        <w:jc w:val="left"/>
      </w:pPr>
      <w:r>
        <w:rPr>
          <w:rFonts w:ascii="Times New Roman" w:hAnsi="Times New Roman"/>
          <w:i w:val="false"/>
          <w:color w:val="000000"/>
          <w:sz w:val="31"/>
        </w:rPr>
        <w:t>5133.212-93</w:t>
      </w:r>
      <w:r>
        <w:rPr>
          <w:rFonts w:ascii="Times New Roman" w:hAnsi="Times New Roman"/>
          <w:i w:val="false"/>
          <w:color w:val="000000"/>
          <w:sz w:val="31"/>
        </w:rPr>
        <w:t xml:space="preserve"> Review of appeal.</w:t>
      </w:r>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(HCA) shall –</w:t>
      </w:r>
    </w:p>
    <w:p>
      <w:pPr>
        <w:pBdr>
          <w:top w:space="5"/>
          <w:left w:space="5"/>
          <w:bottom w:space="5"/>
          <w:right w:space="5"/>
        </w:pBdr>
        <w:spacing w:after="0"/>
        <w:ind w:left="585"/>
        <w:jc w:val="left"/>
      </w:pPr>
      <w:r>
        <w:rPr>
          <w:rFonts w:ascii="Times New Roman" w:hAnsi="Times New Roman"/>
          <w:b w:val="false"/>
          <w:i w:val="false"/>
          <w:color w:val="000000"/>
          <w:sz w:val="22"/>
        </w:rPr>
        <w:t>(1) Furnish technical and legal assistance to the contracting officer as required; and</w:t>
      </w:r>
    </w:p>
    <w:p>
      <w:pPr>
        <w:pBdr>
          <w:top w:space="5"/>
          <w:left w:space="5"/>
          <w:bottom w:space="5"/>
          <w:right w:space="5"/>
        </w:pBdr>
        <w:spacing w:after="0"/>
        <w:ind w:left="585"/>
        <w:jc w:val="left"/>
      </w:pPr>
      <w:r>
        <w:rPr>
          <w:rFonts w:ascii="Times New Roman" w:hAnsi="Times New Roman"/>
          <w:b w:val="false"/>
          <w:i w:val="false"/>
          <w:color w:val="000000"/>
          <w:sz w:val="22"/>
        </w:rPr>
        <w:t>(2) Establish procedures to ensure that review of all appeals filed under the disputes clause occur at a level higher than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HCA designated reviewing official shall –</w:t>
      </w:r>
    </w:p>
    <w:p>
      <w:pPr>
        <w:pBdr>
          <w:top w:space="5"/>
          <w:left w:space="5"/>
          <w:bottom w:space="5"/>
          <w:right w:space="5"/>
        </w:pBdr>
        <w:spacing w:after="0"/>
        <w:ind w:left="585"/>
        <w:jc w:val="left"/>
      </w:pPr>
      <w:r>
        <w:rPr>
          <w:rFonts w:ascii="Times New Roman" w:hAnsi="Times New Roman"/>
          <w:b w:val="false"/>
          <w:i w:val="false"/>
          <w:color w:val="000000"/>
          <w:sz w:val="22"/>
        </w:rPr>
        <w:t>(1) Ensure that the findings cover all issues in dispute and are consistent with the decision from the appeal;</w:t>
      </w:r>
    </w:p>
    <w:p>
      <w:pPr>
        <w:pBdr>
          <w:top w:space="5"/>
          <w:left w:space="5"/>
          <w:bottom w:space="5"/>
          <w:right w:space="5"/>
        </w:pBdr>
        <w:spacing w:after="0"/>
        <w:ind w:left="585"/>
        <w:jc w:val="left"/>
      </w:pPr>
      <w:r>
        <w:rPr>
          <w:rFonts w:ascii="Times New Roman" w:hAnsi="Times New Roman"/>
          <w:b w:val="false"/>
          <w:i w:val="false"/>
          <w:color w:val="000000"/>
          <w:sz w:val="22"/>
        </w:rPr>
        <w:t>(2) Ensure that the contracting officer’s comprehensive report to the Chief Trial Attorney, including the evidence submitted in support of the contracting officer’s decision, is complete;</w:t>
      </w:r>
    </w:p>
    <w:p>
      <w:pPr>
        <w:pBdr>
          <w:top w:space="5"/>
          <w:left w:space="5"/>
          <w:bottom w:space="5"/>
          <w:right w:space="5"/>
        </w:pBdr>
        <w:spacing w:after="0"/>
        <w:ind w:left="585"/>
        <w:jc w:val="left"/>
      </w:pPr>
      <w:r>
        <w:rPr>
          <w:rFonts w:ascii="Times New Roman" w:hAnsi="Times New Roman"/>
          <w:b w:val="false"/>
          <w:i w:val="false"/>
          <w:color w:val="000000"/>
          <w:sz w:val="22"/>
        </w:rPr>
        <w:t>(3) Within 10 calendar days after receiving the contracting officer’s comprehensive report, forward to the Chief Trial Attorney –</w:t>
      </w:r>
    </w:p>
    <w:p>
      <w:pPr>
        <w:pBdr>
          <w:top w:space="5"/>
          <w:left w:space="5"/>
          <w:bottom w:space="5"/>
          <w:right w:space="5"/>
        </w:pBdr>
        <w:spacing w:after="0"/>
        <w:ind w:left="945"/>
        <w:jc w:val="left"/>
      </w:pPr>
      <w:r>
        <w:rPr>
          <w:rFonts w:ascii="Times New Roman" w:hAnsi="Times New Roman"/>
          <w:b w:val="false"/>
          <w:i w:val="false"/>
          <w:color w:val="000000"/>
          <w:sz w:val="22"/>
        </w:rPr>
        <w:t>(i) Evaluations, conclusions and recommendations;</w:t>
      </w:r>
    </w:p>
    <w:p>
      <w:pPr>
        <w:pBdr>
          <w:top w:space="5"/>
          <w:left w:space="5"/>
          <w:bottom w:space="5"/>
          <w:right w:space="5"/>
        </w:pBdr>
        <w:spacing w:after="0"/>
        <w:ind w:left="945"/>
        <w:jc w:val="left"/>
      </w:pPr>
      <w:r>
        <w:rPr>
          <w:rFonts w:ascii="Times New Roman" w:hAnsi="Times New Roman"/>
          <w:b w:val="false"/>
          <w:i w:val="false"/>
          <w:color w:val="000000"/>
          <w:sz w:val="22"/>
        </w:rPr>
        <w:t>(ii) Any additional evidence considered essential to enable the Chief Trial Attorney to protect the interests of the Government before the ASBCA; and</w:t>
      </w:r>
    </w:p>
    <w:p>
      <w:pPr>
        <w:pBdr>
          <w:top w:space="5"/>
          <w:left w:space="5"/>
          <w:bottom w:space="5"/>
          <w:right w:space="5"/>
        </w:pBdr>
        <w:spacing w:after="0"/>
        <w:ind w:left="945"/>
        <w:jc w:val="left"/>
      </w:pPr>
      <w:r>
        <w:rPr>
          <w:rFonts w:ascii="Times New Roman" w:hAnsi="Times New Roman"/>
          <w:b w:val="false"/>
          <w:i w:val="false"/>
          <w:color w:val="000000"/>
          <w:sz w:val="22"/>
        </w:rPr>
        <w:t>(iii) If the reviewing official decides that the available evidence does not sufficiently support contracting officer’s decision, or that the decision is erroneous, an estimated date by which the contracting office will either furnish additional support or withdraw the decision; and</w:t>
      </w:r>
    </w:p>
    <w:p>
      <w:pPr>
        <w:pBdr>
          <w:top w:space="5"/>
          <w:left w:space="5"/>
          <w:bottom w:space="5"/>
          <w:right w:space="5"/>
        </w:pBdr>
        <w:spacing w:after="0"/>
        <w:ind w:left="585"/>
        <w:jc w:val="left"/>
      </w:pPr>
      <w:r>
        <w:rPr>
          <w:rFonts w:ascii="Times New Roman" w:hAnsi="Times New Roman"/>
          <w:b w:val="false"/>
          <w:i w:val="false"/>
          <w:color w:val="000000"/>
          <w:sz w:val="22"/>
        </w:rPr>
        <w:t>(4) Assist the Chief Trial Attorney in obtaining additional evidence or in making other necessary preparations for presenting the Government’s position before the ASBCA.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