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**ID__AFARS_5133.21296__ID**</w:t>
      </w:r>
    </w:p>
    <w:p>
      <w:pPr>
        <w:pStyle w:val="Heading4"/>
        <w:spacing w:after="269"/>
        <w:ind w:left="120"/>
        <w:jc w:val="left"/>
      </w:pPr>
      <w:r>
        <w:rPr>
          <w:rFonts w:ascii="Times New Roman" w:hAnsi="Times New Roman"/>
          <w:i w:val="false"/>
          <w:color w:val="000000"/>
          <w:sz w:val="31"/>
        </w:rPr>
        <w:t>5133.212-96</w:t>
      </w:r>
      <w:r>
        <w:rPr>
          <w:rFonts w:ascii="Times New Roman" w:hAnsi="Times New Roman"/>
          <w:i w:val="false"/>
          <w:color w:val="000000"/>
          <w:sz w:val="31"/>
        </w:rPr>
        <w:t xml:space="preserve"> Disposition.</w:t>
      </w:r>
    </w:p>
    <w:p>
      <w:pPr>
        <w:pBdr>
          <w:top w:space="5"/>
          <w:left w:space="5"/>
          <w:bottom w:space="5"/>
          <w:right w:space="5"/>
        </w:pBdr>
        <w:spacing w:after="0"/>
        <w:ind w:left="225"/>
        <w:jc w:val="left"/>
      </w:pPr>
      <w:r>
        <w:rPr>
          <w:rFonts w:ascii="Times New Roman" w:hAnsi="Times New Roman"/>
          <w:b w:val="false"/>
          <w:i w:val="false"/>
          <w:color w:val="000000"/>
          <w:sz w:val="22"/>
        </w:rPr>
        <w:t>(a) The authority and responsibility to settle contract disputes docketed with the ASBCA remains with the contracting officer, subject to (b) and the following:</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advise the Chief Trial Attorney of all offers of settlement from a contractor, whether directly from the contractor or through the contractor’s attorney.</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consult with the Chief Trial Attorney before accepting a contractor’s offer of settlement and before making a settlement offer to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has all necessary authority to conclude settlement agreements with the concurrence of the contracting officer, the reviewing official, or the Deputy Assistant Secretary of the Army (Procurement). He/she must notify the appropriate Army Command legal office/staff judge advocate of any disagreement regarding the settlement of a case before raising the matter to the Assistant Secretary of the Army (Acquisition, Logistics and Technology).</w:t>
      </w:r>
    </w:p>
    <w:p>
      <w:pPr>
        <w:pBdr>
          <w:top w:space="5"/>
          <w:left w:space="5"/>
          <w:bottom w:space="5"/>
          <w:right w:space="5"/>
        </w:pBdr>
        <w:spacing w:after="0"/>
        <w:ind w:left="585"/>
        <w:jc w:val="left"/>
      </w:pPr>
      <w:r>
        <w:rPr>
          <w:rFonts w:ascii="Times New Roman" w:hAnsi="Times New Roman"/>
          <w:b w:val="false"/>
          <w:i w:val="false"/>
          <w:color w:val="000000"/>
          <w:sz w:val="22"/>
        </w:rPr>
        <w:t>(1) The Chief Trial Attorney or an individual trial attorney may enter into an agreement on matters for which there is no substantial controversy and which will not have the effect of disposing of an appeal, provided that, in the case of a pre-hearing written stipulation or agreement, the Chief Trial Attorney has granted this authority to the individual trial attorney in advance.</w:t>
      </w:r>
    </w:p>
    <w:p>
      <w:pPr>
        <w:pBdr>
          <w:top w:space="5"/>
          <w:left w:space="5"/>
          <w:bottom w:space="5"/>
          <w:right w:space="5"/>
        </w:pBdr>
        <w:spacing w:after="0"/>
        <w:ind w:left="585"/>
        <w:jc w:val="left"/>
      </w:pPr>
      <w:r>
        <w:rPr>
          <w:rFonts w:ascii="Times New Roman" w:hAnsi="Times New Roman"/>
          <w:b w:val="false"/>
          <w:i w:val="false"/>
          <w:color w:val="000000"/>
          <w:sz w:val="22"/>
        </w:rPr>
        <w:t>(2)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obtaining concurrence from a representative of the HCA. Such agreement may then become the basis of an ASBCA decision disposing of the appeal.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