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**ID__AFARS_5103.1713__ID**</w:t>
      </w:r>
    </w:p>
    <w:p>
      <w:pPr>
        <w:pStyle w:val="Heading4"/>
        <w:spacing w:after="269"/>
        <w:ind w:left="120"/>
        <w:jc w:val="left"/>
      </w:pPr>
      <w:r>
        <w:rPr>
          <w:rFonts w:ascii="Times New Roman" w:hAnsi="Times New Roman"/>
          <w:i w:val="false"/>
          <w:color w:val="000000"/>
          <w:sz w:val="24"/>
        </w:rPr>
        <w:t>5103.171-3</w:t>
      </w:r>
      <w:r>
        <w:rPr>
          <w:rFonts w:ascii="Times New Roman" w:hAnsi="Times New Roman"/>
          <w:i w:val="false"/>
          <w:color w:val="000000"/>
          <w:sz w:val="24"/>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appropriate agency ethics official to provide a written opinion regarding the applicability of post-employment restrictions to a covered DoD official is any properly appointed ethics official or ethics counselor within the servicing legal office for the last unit or organization to which the covered DoD official was assigned.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