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**ID__AFARS_5135.0701__ID**</w:t>
      </w:r>
    </w:p>
    <w:p>
      <w:pPr>
        <w:pStyle w:val="Heading3"/>
        <w:spacing w:after="199"/>
        <w:ind w:left="120"/>
        <w:jc w:val="left"/>
      </w:pPr>
      <w:r>
        <w:rPr>
          <w:rFonts w:ascii="Times New Roman" w:hAnsi="Times New Roman"/>
          <w:color w:val="000000"/>
          <w:sz w:val="31"/>
        </w:rPr>
        <w:t>5135.070-1</w:t>
      </w:r>
      <w:r>
        <w:rPr>
          <w:rFonts w:ascii="Times New Roman" w:hAnsi="Times New Roman"/>
          <w:color w:val="000000"/>
          <w:sz w:val="31"/>
        </w:rPr>
        <w:t xml:space="preserve"> Indemnification under research and development contracts.</w:t>
      </w:r>
    </w:p>
    <w:p>
      <w:pPr>
        <w:pBdr>
          <w:top w:space="5"/>
          <w:left w:space="5"/>
          <w:bottom w:space="5"/>
          <w:right w:space="5"/>
        </w:pBdr>
        <w:spacing w:after="0"/>
        <w:ind w:left="585"/>
        <w:jc w:val="left"/>
      </w:pPr>
      <w:r>
        <w:rPr>
          <w:rFonts w:ascii="Times New Roman" w:hAnsi="Times New Roman"/>
          <w:b w:val="false"/>
          <w:i w:val="false"/>
          <w:color w:val="000000"/>
          <w:sz w:val="22"/>
        </w:rPr>
        <w:t>(1) Send requests for authorization through contracting channels to the addressee in 5101.290(b)(2)(ii)(C) in time to reach the addressee at least 30 working days prior to the planned release of the solicitation.</w:t>
      </w:r>
    </w:p>
    <w:p>
      <w:pPr>
        <w:pBdr>
          <w:top w:space="5"/>
          <w:left w:space="5"/>
          <w:bottom w:space="5"/>
          <w:right w:space="5"/>
        </w:pBdr>
        <w:spacing w:after="0"/>
        <w:ind w:left="585"/>
        <w:jc w:val="left"/>
      </w:pPr>
      <w:r>
        <w:rPr>
          <w:rFonts w:ascii="Times New Roman" w:hAnsi="Times New Roman"/>
          <w:b w:val="false"/>
          <w:i w:val="false"/>
          <w:color w:val="000000"/>
          <w:sz w:val="22"/>
        </w:rPr>
        <w:t>(2) Each secretarial request for authorization must contain –</w:t>
      </w:r>
    </w:p>
    <w:p>
      <w:pPr>
        <w:pBdr>
          <w:top w:space="5"/>
          <w:left w:space="5"/>
          <w:bottom w:space="5"/>
          <w:right w:space="5"/>
        </w:pBdr>
        <w:spacing w:after="0"/>
        <w:ind w:left="945"/>
        <w:jc w:val="left"/>
      </w:pPr>
      <w:r>
        <w:rPr>
          <w:rFonts w:ascii="Times New Roman" w:hAnsi="Times New Roman"/>
          <w:b w:val="false"/>
          <w:i w:val="false"/>
          <w:color w:val="000000"/>
          <w:sz w:val="22"/>
        </w:rPr>
        <w:t>(i) The information required by FAR 50.104-3(b) except (b)(1)(iii);</w:t>
      </w:r>
    </w:p>
    <w:p>
      <w:pPr>
        <w:pBdr>
          <w:top w:space="5"/>
          <w:left w:space="5"/>
          <w:bottom w:space="5"/>
          <w:right w:space="5"/>
        </w:pBdr>
        <w:spacing w:after="0"/>
        <w:ind w:left="945"/>
        <w:jc w:val="left"/>
      </w:pPr>
      <w:r>
        <w:rPr>
          <w:rFonts w:ascii="Times New Roman" w:hAnsi="Times New Roman"/>
          <w:b w:val="false"/>
          <w:i w:val="false"/>
          <w:color w:val="000000"/>
          <w:sz w:val="22"/>
        </w:rPr>
        <w:t>(ii) The clause and facts showing that the contract is for research or development or both;</w:t>
      </w:r>
    </w:p>
    <w:p>
      <w:pPr>
        <w:pBdr>
          <w:top w:space="5"/>
          <w:left w:space="5"/>
          <w:bottom w:space="5"/>
          <w:right w:space="5"/>
        </w:pBdr>
        <w:spacing w:after="0"/>
        <w:ind w:left="945"/>
        <w:jc w:val="left"/>
      </w:pPr>
      <w:r>
        <w:rPr>
          <w:rFonts w:ascii="Times New Roman" w:hAnsi="Times New Roman"/>
          <w:b w:val="false"/>
          <w:i w:val="false"/>
          <w:color w:val="000000"/>
          <w:sz w:val="22"/>
        </w:rPr>
        <w:t>(iii) A statement that the proposed indemnification clause complies fully with the requirements of 10 U.S.C. 2354;</w:t>
      </w:r>
    </w:p>
    <w:p>
      <w:pPr>
        <w:pBdr>
          <w:top w:space="5"/>
          <w:left w:space="5"/>
          <w:bottom w:space="5"/>
          <w:right w:space="5"/>
        </w:pBdr>
        <w:spacing w:after="0"/>
        <w:ind w:left="945"/>
        <w:jc w:val="left"/>
      </w:pPr>
      <w:r>
        <w:rPr>
          <w:rFonts w:ascii="Times New Roman" w:hAnsi="Times New Roman"/>
          <w:b w:val="false"/>
          <w:i w:val="false"/>
          <w:color w:val="000000"/>
          <w:sz w:val="22"/>
        </w:rPr>
        <w:t>(iv) The reasons the use of the indemnification clause would be in the Government’s interest; and</w:t>
      </w:r>
    </w:p>
    <w:p>
      <w:pPr>
        <w:pBdr>
          <w:top w:space="5"/>
          <w:left w:space="5"/>
          <w:bottom w:space="5"/>
          <w:right w:space="5"/>
        </w:pBdr>
        <w:spacing w:after="0"/>
        <w:ind w:left="945"/>
        <w:jc w:val="left"/>
      </w:pPr>
      <w:r>
        <w:rPr>
          <w:rFonts w:ascii="Times New Roman" w:hAnsi="Times New Roman"/>
          <w:b w:val="false"/>
          <w:i w:val="false"/>
          <w:color w:val="000000"/>
          <w:sz w:val="22"/>
        </w:rPr>
        <w:t>(v) The signatures of the head of the contracting activity or the senior contracting official and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Handle requests for indemnification under Pub. L. 85-804 in accordance with FAR 50.104-3 and DFARS 250.104-3-70.</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