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**ID__AFARS_5136.201__ID**</w:t>
      </w:r>
    </w:p>
    <w:p>
      <w:pPr>
        <w:pStyle w:val="Heading3"/>
        <w:spacing w:after="199"/>
        <w:ind w:left="120"/>
        <w:jc w:val="left"/>
      </w:pPr>
      <w:r>
        <w:rPr>
          <w:rFonts w:ascii="Times New Roman" w:hAnsi="Times New Roman"/>
          <w:color w:val="000000"/>
          <w:sz w:val="31"/>
        </w:rPr>
        <w:t>5136.201</w:t>
      </w:r>
      <w:r>
        <w:rPr>
          <w:rFonts w:ascii="Times New Roman" w:hAnsi="Times New Roman"/>
          <w:color w:val="000000"/>
          <w:sz w:val="31"/>
        </w:rPr>
        <w:t xml:space="preserve"> Evaluation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(1) See 5142.1503-90 for the requirements to prepare contractor past performance evaluations on construction contracts.</w:t>
      </w:r>
    </w:p>
    <w:p>
      <w:pPr>
        <w:pBdr>
          <w:top w:space="5"/>
          <w:left w:space="5"/>
          <w:bottom w:space="5"/>
          <w:right w:space="5"/>
        </w:pBdr>
        <w:spacing w:after="0"/>
        <w:ind w:left="585"/>
        <w:jc w:val="left"/>
      </w:pPr>
      <w:r>
        <w:rPr>
          <w:rFonts w:ascii="Times New Roman" w:hAnsi="Times New Roman"/>
          <w:b w:val="false"/>
          <w:i w:val="false"/>
          <w:color w:val="000000"/>
          <w:sz w:val="22"/>
        </w:rPr>
        <w:t>(2) At a minimum, prepare the report (DD Form 2626, Performance Evaluation (Construction)) at the final acceptance of work. The contracting officer’s representative, or ordering officer if there is no contracting officer’s representative, must be responsible for monitoring contract performance.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