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**ID__AFARS_5136.209__ID**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5136.209</w:t>
      </w:r>
      <w:r>
        <w:rPr>
          <w:rFonts w:ascii="Times New Roman" w:hAnsi="Times New Roman"/>
          <w:color w:val="000000"/>
          <w:sz w:val="31"/>
        </w:rPr>
        <w:t xml:space="preserve"> Construction contracts with architect–engineer firms.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Subject to the resolution of organizational conflict of interest concerns, the Assistant Secretary of the Army (Acquisition, Logistics and Technology) may approve award of a construction contract to the firm that designed the project.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