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**ID__AFARS_5103.203__ID**</w:t>
      </w:r>
    </w:p>
    <w:p>
      <w:pPr>
        <w:pStyle w:val="Heading3"/>
        <w:spacing w:after="199"/>
        <w:ind w:left="120"/>
        <w:jc w:val="left"/>
      </w:pPr>
      <w:r>
        <w:rPr>
          <w:rFonts w:ascii="Times New Roman" w:hAnsi="Times New Roman"/>
          <w:color w:val="000000"/>
          <w:sz w:val="31"/>
        </w:rPr>
        <w:t>5103.203</w:t>
      </w:r>
      <w:r>
        <w:rPr>
          <w:rFonts w:ascii="Times New Roman" w:hAnsi="Times New Roman"/>
          <w:color w:val="000000"/>
          <w:sz w:val="31"/>
        </w:rPr>
        <w:t xml:space="preserve"> Reporting suspected violations of the Gratuities clause.</w:t>
      </w:r>
    </w:p>
    <w:p>
      <w:pPr>
        <w:pBdr>
          <w:top w:space="5"/>
          <w:left w:space="5"/>
          <w:bottom w:space="5"/>
          <w:right w:space="5"/>
        </w:pBdr>
        <w:spacing w:after="0"/>
        <w:ind w:left="225"/>
        <w:jc w:val="left"/>
      </w:pPr>
      <w:r>
        <w:rPr>
          <w:rFonts w:ascii="Times New Roman" w:hAnsi="Times New Roman"/>
          <w:b w:val="false"/>
          <w:i w:val="false"/>
          <w:color w:val="000000"/>
          <w:sz w:val="22"/>
        </w:rPr>
        <w:t>(a)(i) Violations of the Gratuities clause include, but are not limited to, entertainment or gift(s) 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p>
    <w:p>
      <w:pPr>
        <w:pBdr>
          <w:top w:space="5"/>
          <w:left w:space="5"/>
          <w:bottom w:space="5"/>
          <w:right w:space="5"/>
        </w:pBdr>
        <w:spacing w:after="0"/>
        <w:ind w:left="945"/>
        <w:jc w:val="left"/>
      </w:pPr>
      <w:r>
        <w:rPr>
          <w:rFonts w:ascii="Times New Roman" w:hAnsi="Times New Roman"/>
          <w:b w:val="false"/>
          <w:i w:val="false"/>
          <w:color w:val="000000"/>
          <w:sz w:val="22"/>
        </w:rPr>
        <w:t>(ii) Provide reports of suspected violations of the Gratuities clause to the following Army officials (see FAR 3.203 and 52.203-3):</w:t>
      </w:r>
    </w:p>
    <w:p>
      <w:pPr>
        <w:pBdr>
          <w:top w:space="5"/>
          <w:left w:space="5"/>
          <w:bottom w:space="5"/>
          <w:right w:space="5"/>
        </w:pBdr>
        <w:spacing w:after="0"/>
        <w:ind w:left="1305"/>
        <w:jc w:val="left"/>
      </w:pPr>
      <w:r>
        <w:rPr>
          <w:rFonts w:ascii="Times New Roman" w:hAnsi="Times New Roman"/>
          <w:b w:val="false"/>
          <w:i w:val="false"/>
          <w:color w:val="000000"/>
          <w:sz w:val="22"/>
        </w:rPr>
        <w:t>(A) The chief of the contracting office responsible for the contract with the potential infraction, unless the chief of the contracting office is suspected to be a party to the proffered gratuity, in which case refer to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(B) The senior contracting official (SCO) having responsibility for the contract with the potential infraction.</w:t>
      </w:r>
    </w:p>
    <w:p>
      <w:pPr>
        <w:pBdr>
          <w:top w:space="5"/>
          <w:left w:space="5"/>
          <w:bottom w:space="5"/>
          <w:right w:space="5"/>
        </w:pBdr>
        <w:spacing w:after="0"/>
        <w:ind w:left="225"/>
        <w:jc w:val="left"/>
      </w:pPr>
      <w:r>
        <w:rPr>
          <w:rFonts w:ascii="Times New Roman" w:hAnsi="Times New Roman"/>
          <w:b w:val="false"/>
          <w:i w:val="false"/>
          <w:color w:val="000000"/>
          <w:sz w:val="22"/>
        </w:rPr>
        <w:t>(b) As soon as practicable, the chief of the contracting office, or SCO if necessary under paragraph (a)(ii)(B) of this section, shall:</w:t>
      </w:r>
    </w:p>
    <w:p>
      <w:pPr>
        <w:pBdr>
          <w:top w:space="5"/>
          <w:left w:space="5"/>
          <w:bottom w:space="5"/>
          <w:right w:space="5"/>
        </w:pBdr>
        <w:spacing w:after="0"/>
        <w:ind w:left="945"/>
        <w:jc w:val="left"/>
      </w:pPr>
      <w:r>
        <w:rPr>
          <w:rFonts w:ascii="Times New Roman" w:hAnsi="Times New Roman"/>
          <w:b w:val="false"/>
          <w:i w:val="false"/>
          <w:color w:val="000000"/>
          <w:sz w:val="22"/>
        </w:rPr>
        <w:t>(i) Report the suspected violation to the Army Criminal Investigation Division (CID) for appropriate action.</w:t>
      </w:r>
    </w:p>
    <w:p>
      <w:pPr>
        <w:pBdr>
          <w:top w:space="5"/>
          <w:left w:space="5"/>
          <w:bottom w:space="5"/>
          <w:right w:space="5"/>
        </w:pBdr>
        <w:spacing w:after="0"/>
        <w:ind w:left="945"/>
        <w:jc w:val="left"/>
      </w:pPr>
      <w:r>
        <w:rPr>
          <w:rFonts w:ascii="Times New Roman" w:hAnsi="Times New Roman"/>
          <w:b w:val="false"/>
          <w:i w:val="false"/>
          <w:color w:val="000000"/>
          <w:sz w:val="22"/>
        </w:rPr>
        <w:t>(ii) In coordination with the local procurement fraud advisor (PFA), report the suspected violation to the HCA, with a complete copy to the Chief of the Army Procurement Fraud Branch (see 5101.290(b)(5)). Include the following information:</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contractor, a statement as to the form of the organization, including names and addresses of principals;</w:t>
      </w:r>
    </w:p>
    <w:p>
      <w:pPr>
        <w:pBdr>
          <w:top w:space="5"/>
          <w:left w:space="5"/>
          <w:bottom w:space="5"/>
          <w:right w:space="5"/>
        </w:pBdr>
        <w:spacing w:after="0"/>
        <w:ind w:left="1305"/>
        <w:jc w:val="left"/>
      </w:pPr>
      <w:r>
        <w:rPr>
          <w:rFonts w:ascii="Times New Roman" w:hAnsi="Times New Roman"/>
          <w:b w:val="false"/>
          <w:i w:val="false"/>
          <w:color w:val="000000"/>
          <w:sz w:val="22"/>
        </w:rPr>
        <w:t>(B)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p>
    <w:p>
      <w:pPr>
        <w:pBdr>
          <w:top w:space="5"/>
          <w:left w:space="5"/>
          <w:bottom w:space="5"/>
          <w:right w:space="5"/>
        </w:pBdr>
        <w:spacing w:after="0"/>
        <w:ind w:left="1305"/>
        <w:jc w:val="left"/>
      </w:pPr>
      <w:r>
        <w:rPr>
          <w:rFonts w:ascii="Times New Roman" w:hAnsi="Times New Roman"/>
          <w:b w:val="false"/>
          <w:i w:val="false"/>
          <w:color w:val="000000"/>
          <w:sz w:val="22"/>
        </w:rPr>
        <w:t>(C) A summary of the reported information concerning the suspected violation, with names and addresses, dates and references to documentary evidence available.</w:t>
      </w:r>
    </w:p>
    <w:p>
      <w:pPr>
        <w:pBdr>
          <w:top w:space="5"/>
          <w:left w:space="5"/>
          <w:bottom w:space="5"/>
          <w:right w:space="5"/>
        </w:pBdr>
        <w:spacing w:after="0"/>
        <w:ind w:left="945"/>
        <w:jc w:val="left"/>
      </w:pPr>
      <w:r>
        <w:rPr>
          <w:rFonts w:ascii="Times New Roman" w:hAnsi="Times New Roman"/>
          <w:b w:val="false"/>
          <w:i w:val="false"/>
          <w:color w:val="000000"/>
          <w:sz w:val="22"/>
        </w:rPr>
        <w:t>(iii) Contracting personnel will cooperate fully with Army CID personnel, the organization’s PFA and the Chief of the Army Procurement Fraud Branch and preserve any documentary evidence and exhibits.</w:t>
      </w:r>
    </w:p>
    <w:p>
      <w:pPr>
        <w:pBdr>
          <w:top w:space="5"/>
          <w:left w:space="5"/>
          <w:bottom w:space="5"/>
          <w:right w:space="5"/>
        </w:pBdr>
        <w:spacing w:after="0"/>
        <w:ind w:left="945"/>
        <w:jc w:val="left"/>
      </w:pPr>
      <w:r>
        <w:rPr>
          <w:rFonts w:ascii="Times New Roman" w:hAnsi="Times New Roman"/>
          <w:b w:val="false"/>
          <w:i w:val="false"/>
          <w:color w:val="000000"/>
          <w:sz w:val="22"/>
        </w:rPr>
        <w:t>(iv) If Army CID declines to initiate a criminal investigation, the HCA will coordinate with the organization’s PFA and the Chief of the Army Procurement Fraud Branch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pPr>
        <w:pBdr>
          <w:top w:space="5"/>
          <w:left w:space="5"/>
          <w:bottom w:space="5"/>
          <w:right w:space="5"/>
        </w:pBdr>
        <w:spacing w:after="0"/>
        <w:ind w:left="945"/>
        <w:jc w:val="left"/>
      </w:pPr>
      <w:r>
        <w:rPr>
          <w:rFonts w:ascii="Times New Roman" w:hAnsi="Times New Roman"/>
          <w:b w:val="false"/>
          <w:i w:val="false"/>
          <w:color w:val="000000"/>
          <w:sz w:val="22"/>
        </w:rPr>
        <w:t>(v) If a CID or administrative investigation is conducted, at its conclusion the HCA will coordinate with the organization’s PFA and the Chief of the Army Procurement Fraud Branch to determine whether further action is necessary.</w:t>
      </w:r>
    </w:p>
    <w:p>
      <w:pPr>
        <w:pBdr>
          <w:top w:space="5"/>
          <w:left w:space="5"/>
          <w:bottom w:space="5"/>
          <w:right w:space="5"/>
        </w:pBdr>
        <w:spacing w:after="0"/>
        <w:ind w:left="1305"/>
        <w:jc w:val="left"/>
      </w:pPr>
      <w:r>
        <w:rPr>
          <w:rFonts w:ascii="Times New Roman" w:hAnsi="Times New Roman"/>
          <w:b w:val="false"/>
          <w:i w:val="false"/>
          <w:color w:val="000000"/>
          <w:sz w:val="22"/>
        </w:rPr>
        <w:t>(A) If the HCA decides that no further action is necessary, the HCA will prepare a memorandum to document the basis for the decision.</w:t>
      </w:r>
    </w:p>
    <w:p>
      <w:pPr>
        <w:pBdr>
          <w:top w:space="5"/>
          <w:left w:space="5"/>
          <w:bottom w:space="5"/>
          <w:right w:space="5"/>
        </w:pBdr>
        <w:spacing w:after="0"/>
        <w:ind w:left="1305"/>
        <w:jc w:val="left"/>
      </w:pPr>
      <w:r>
        <w:rPr>
          <w:rFonts w:ascii="Times New Roman" w:hAnsi="Times New Roman"/>
          <w:b w:val="false"/>
          <w:i w:val="false"/>
          <w:color w:val="000000"/>
          <w:sz w:val="22"/>
        </w:rPr>
        <w:t>(B) If the HCA decides that further action is necessary, the HCA shall refer the matter, along with all supporting documentation, to the Army suspension and debarment official (SDO) through the Chief of the Army Procurement Fraud Branch. The Army SDO, or other senior official designated by The Judge Advocate General, shall proceed in accordance with FAR 3.204 and 5103.204.</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