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**ID__AFARS_5103.204__ID**</w:t>
      </w:r>
    </w:p>
    <w:p>
      <w:pPr>
        <w:pStyle w:val="Heading3"/>
        <w:spacing w:after="199"/>
        <w:ind w:left="120"/>
        <w:jc w:val="left"/>
      </w:pPr>
      <w:r>
        <w:rPr>
          <w:rFonts w:ascii="Times New Roman" w:hAnsi="Times New Roman"/>
          <w:color w:val="000000"/>
          <w:sz w:val="31"/>
        </w:rPr>
        <w:t>5103.204</w:t>
      </w:r>
      <w:r>
        <w:rPr>
          <w:rFonts w:ascii="Times New Roman" w:hAnsi="Times New Roman"/>
          <w:color w:val="000000"/>
          <w:sz w:val="31"/>
        </w:rPr>
        <w:t xml:space="preserve"> Treatment of violations.</w:t>
      </w:r>
    </w:p>
    <w:p>
      <w:pPr>
        <w:pBdr>
          <w:top w:space="5"/>
          <w:left w:space="5"/>
          <w:bottom w:space="5"/>
          <w:right w:space="5"/>
        </w:pBdr>
        <w:spacing w:after="0"/>
        <w:ind w:left="225"/>
        <w:jc w:val="left"/>
      </w:pPr>
      <w:r>
        <w:rPr>
          <w:rFonts w:ascii="Times New Roman" w:hAnsi="Times New Roman"/>
          <w:b w:val="false"/>
          <w:i w:val="false"/>
          <w:color w:val="000000"/>
          <w:sz w:val="22"/>
        </w:rPr>
        <w:t>(a) Pre-hearing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Army SDO, or other senior official designated by The Judge Advocate General, is the hearing officer for hearings under FAR 3.204 and is responsible for determining whether a violation of the Gratuities clause occurred. The Chief of the Army Procurement Fraud Branch will generally provide administrative support to the Army SDO to include providing counsel to act as the Government’s representative in any proceeding pursuant to this subpart. See Appendix GG.</w:t>
      </w:r>
    </w:p>
    <w:p>
      <w:pPr>
        <w:pBdr>
          <w:top w:space="5"/>
          <w:left w:space="5"/>
          <w:bottom w:space="5"/>
          <w:right w:space="5"/>
        </w:pBdr>
        <w:spacing w:after="0"/>
        <w:ind w:left="945"/>
        <w:jc w:val="left"/>
      </w:pPr>
      <w:r>
        <w:rPr>
          <w:rFonts w:ascii="Times New Roman" w:hAnsi="Times New Roman"/>
          <w:b w:val="false"/>
          <w:i w:val="false"/>
          <w:color w:val="000000"/>
          <w:sz w:val="22"/>
        </w:rPr>
        <w:t>(ii) The hearing officer is responsible for notifying the contractor of any suspected violation of the Gratuities clause. The notice to the contractor is sent by registered or certified mail, or another, similar commercial means that provides a signed delivery receipt. The notice will accomplish the following:</w:t>
      </w:r>
    </w:p>
    <w:p>
      <w:pPr>
        <w:pBdr>
          <w:top w:space="5"/>
          <w:left w:space="5"/>
          <w:bottom w:space="5"/>
          <w:right w:space="5"/>
        </w:pBdr>
        <w:spacing w:after="0"/>
        <w:ind w:left="1305"/>
        <w:jc w:val="left"/>
      </w:pPr>
      <w:r>
        <w:rPr>
          <w:rFonts w:ascii="Times New Roman" w:hAnsi="Times New Roman"/>
          <w:b w:val="false"/>
          <w:i w:val="false"/>
          <w:color w:val="000000"/>
          <w:sz w:val="22"/>
        </w:rPr>
        <w:t>(A) Describe the suspected violation(s) in sufficient detail to reasonably apprise the contractor of the alleged violation(s).</w:t>
      </w:r>
    </w:p>
    <w:p>
      <w:pPr>
        <w:pBdr>
          <w:top w:space="5"/>
          <w:left w:space="5"/>
          <w:bottom w:space="5"/>
          <w:right w:space="5"/>
        </w:pBdr>
        <w:spacing w:after="0"/>
        <w:ind w:left="1305"/>
        <w:jc w:val="left"/>
      </w:pPr>
      <w:r>
        <w:rPr>
          <w:rFonts w:ascii="Times New Roman" w:hAnsi="Times New Roman"/>
          <w:b w:val="false"/>
          <w:i w:val="false"/>
          <w:color w:val="000000"/>
          <w:sz w:val="22"/>
        </w:rPr>
        <w:t>(B) State the potential penalties for a violation of the Gratuities clause.</w:t>
      </w:r>
    </w:p>
    <w:p>
      <w:pPr>
        <w:pBdr>
          <w:top w:space="5"/>
          <w:left w:space="5"/>
          <w:bottom w:space="5"/>
          <w:right w:space="5"/>
        </w:pBdr>
        <w:spacing w:after="0"/>
        <w:ind w:left="1305"/>
        <w:jc w:val="left"/>
      </w:pPr>
      <w:r>
        <w:rPr>
          <w:rFonts w:ascii="Times New Roman" w:hAnsi="Times New Roman"/>
          <w:b w:val="false"/>
          <w:i w:val="false"/>
          <w:color w:val="000000"/>
          <w:sz w:val="22"/>
        </w:rPr>
        <w:t>(C) Include a copy of the supporting record, with a general description of any redacted material, such as social security numbers, dates of birth, and financial account numbers, and the reasons for withholding.</w:t>
      </w:r>
    </w:p>
    <w:p>
      <w:pPr>
        <w:pBdr>
          <w:top w:space="5"/>
          <w:left w:space="5"/>
          <w:bottom w:space="5"/>
          <w:right w:space="5"/>
        </w:pBdr>
        <w:spacing w:after="0"/>
        <w:ind w:left="1305"/>
        <w:jc w:val="left"/>
      </w:pPr>
      <w:r>
        <w:rPr>
          <w:rFonts w:ascii="Times New Roman" w:hAnsi="Times New Roman"/>
          <w:b w:val="false"/>
          <w:i w:val="false"/>
          <w:color w:val="000000"/>
          <w:sz w:val="22"/>
        </w:rPr>
        <w:t>(D) 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(E) State that the contractor has 30 working days from receipt of the notice to submit written matters concerning the allegations and to request a hearing. Any timely submissions by the contractor will become part of the evidentiary record.</w:t>
      </w:r>
    </w:p>
    <w:p>
      <w:pPr>
        <w:pBdr>
          <w:top w:space="5"/>
          <w:left w:space="5"/>
          <w:bottom w:space="5"/>
          <w:right w:space="5"/>
        </w:pBdr>
        <w:spacing w:after="0"/>
        <w:ind w:left="1305"/>
        <w:jc w:val="left"/>
      </w:pPr>
      <w:r>
        <w:rPr>
          <w:rFonts w:ascii="Times New Roman" w:hAnsi="Times New Roman"/>
          <w:b w:val="false"/>
          <w:i w:val="false"/>
          <w:color w:val="000000"/>
          <w:sz w:val="22"/>
        </w:rPr>
        <w:t>(F) 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Hearing and post-hearing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hearing officer will schedule the hearing as soon as practicable after receipt of the contractor’s request. The hearing officer may inform the contractor of the hearing date by email if the contractor so requests and provides an email address for that purpose when requesting a hearing.</w:t>
      </w:r>
    </w:p>
    <w:p>
      <w:pPr>
        <w:pBdr>
          <w:top w:space="5"/>
          <w:left w:space="5"/>
          <w:bottom w:space="5"/>
          <w:right w:space="5"/>
        </w:pBdr>
        <w:spacing w:after="0"/>
        <w:ind w:left="945"/>
        <w:jc w:val="left"/>
      </w:pPr>
      <w:r>
        <w:rPr>
          <w:rFonts w:ascii="Times New Roman" w:hAnsi="Times New Roman"/>
          <w:b w:val="false"/>
          <w:i w:val="false"/>
          <w:color w:val="000000"/>
          <w:sz w:val="22"/>
        </w:rPr>
        <w:t>(ii) Hearings shall be conducted at the hearing officer’s office.</w:t>
      </w:r>
    </w:p>
    <w:p>
      <w:pPr>
        <w:pBdr>
          <w:top w:space="5"/>
          <w:left w:space="5"/>
          <w:bottom w:space="5"/>
          <w:right w:space="5"/>
        </w:pBdr>
        <w:spacing w:after="0"/>
        <w:ind w:left="945"/>
        <w:jc w:val="left"/>
      </w:pPr>
      <w:r>
        <w:rPr>
          <w:rFonts w:ascii="Times New Roman" w:hAnsi="Times New Roman"/>
          <w:b w:val="false"/>
          <w:i w:val="false"/>
          <w:color w:val="000000"/>
          <w:sz w:val="22"/>
        </w:rPr>
        <w:t>(iii) Hearings shall be consistent with FAR 3.204(b), and they shall be non-adversarial in nature.</w:t>
      </w:r>
    </w:p>
    <w:p>
      <w:pPr>
        <w:pBdr>
          <w:top w:space="5"/>
          <w:left w:space="5"/>
          <w:bottom w:space="5"/>
          <w:right w:space="5"/>
        </w:pBdr>
        <w:spacing w:after="0"/>
        <w:ind w:left="945"/>
        <w:jc w:val="left"/>
      </w:pPr>
      <w:r>
        <w:rPr>
          <w:rFonts w:ascii="Times New Roman" w:hAnsi="Times New Roman"/>
          <w:b w:val="false"/>
          <w:i w:val="false"/>
          <w:color w:val="000000"/>
          <w:sz w:val="22"/>
        </w:rPr>
        <w:t>(iv) The hearing officer and the Government representative may ask questions of the contractor or its representatives making the 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or its representatives and the Government representatives shall have an opportunity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pPr>
        <w:pBdr>
          <w:top w:space="5"/>
          <w:left w:space="5"/>
          <w:bottom w:space="5"/>
          <w:right w:space="5"/>
        </w:pBdr>
        <w:spacing w:after="0"/>
        <w:ind w:left="945"/>
        <w:jc w:val="left"/>
      </w:pPr>
      <w:r>
        <w:rPr>
          <w:rFonts w:ascii="Times New Roman" w:hAnsi="Times New Roman"/>
          <w:b w:val="false"/>
          <w:i w:val="false"/>
          <w:color w:val="000000"/>
          <w:sz w:val="22"/>
        </w:rPr>
        <w:t>(vi) Documents and testimony not ordinarily admissible under legal rules of evidence may be received at the discretion of the hearing officer and will be given appropriate weight. The hearing officer may exclude from the evidentiary record irrelevant or unduly repetitive information presented by the contractor or the Government representative.</w:t>
      </w:r>
    </w:p>
    <w:p>
      <w:pPr>
        <w:pBdr>
          <w:top w:space="5"/>
          <w:left w:space="5"/>
          <w:bottom w:space="5"/>
          <w:right w:space="5"/>
        </w:pBdr>
        <w:spacing w:after="0"/>
        <w:ind w:left="945"/>
        <w:jc w:val="left"/>
      </w:pPr>
      <w:r>
        <w:rPr>
          <w:rFonts w:ascii="Times New Roman" w:hAnsi="Times New Roman"/>
          <w:b w:val="false"/>
          <w:i w:val="false"/>
          <w:color w:val="000000"/>
          <w:sz w:val="22"/>
        </w:rPr>
        <w:t>(vii) 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pPr>
        <w:pBdr>
          <w:top w:space="5"/>
          <w:left w:space="5"/>
          <w:bottom w:space="5"/>
          <w:right w:space="5"/>
        </w:pBdr>
        <w:spacing w:after="0"/>
        <w:ind w:left="945"/>
        <w:jc w:val="left"/>
      </w:pPr>
      <w:r>
        <w:rPr>
          <w:rFonts w:ascii="Times New Roman" w:hAnsi="Times New Roman"/>
          <w:b w:val="false"/>
          <w:i w:val="false"/>
          <w:color w:val="000000"/>
          <w:sz w:val="22"/>
        </w:rPr>
        <w:t>(viii)(A) The hearing officer shall make all findings of fact and conclusions of law relevant to whether a violation of the Gratuities clause occurred, including the dollar value of any gratuity. The hearing officer also makes 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evidentiary record. The decision of the hearing officer as to whether a violation of the Gratuities clause has occurred will be the Department of the Army’s final decision.</w:t>
      </w:r>
    </w:p>
    <w:p>
      <w:pPr>
        <w:pBdr>
          <w:top w:space="5"/>
          <w:left w:space="5"/>
          <w:bottom w:space="5"/>
          <w:right w:space="5"/>
        </w:pBdr>
        <w:spacing w:after="0"/>
        <w:ind w:left="1305"/>
        <w:jc w:val="left"/>
      </w:pPr>
      <w:r>
        <w:rPr>
          <w:rFonts w:ascii="Times New Roman" w:hAnsi="Times New Roman"/>
          <w:b w:val="false"/>
          <w:i w:val="false"/>
          <w:color w:val="000000"/>
          <w:sz w:val="22"/>
        </w:rPr>
        <w:t>(B) If the contractor does not request a hearing in a timely manner or abandons its request, the hearing officer will make the findings of fact, conclusions of law, and recommendations on the basis of the written record.</w:t>
      </w:r>
    </w:p>
    <w:p>
      <w:pPr>
        <w:pBdr>
          <w:top w:space="5"/>
          <w:left w:space="5"/>
          <w:bottom w:space="5"/>
          <w:right w:space="5"/>
        </w:pBdr>
        <w:spacing w:after="0"/>
        <w:ind w:left="1305"/>
        <w:jc w:val="left"/>
      </w:pPr>
      <w:r>
        <w:rPr>
          <w:rFonts w:ascii="Times New Roman" w:hAnsi="Times New Roman"/>
          <w:b w:val="false"/>
          <w:i w:val="false"/>
          <w:color w:val="000000"/>
          <w:sz w:val="22"/>
        </w:rPr>
        <w:t>(C) 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pPr>
        <w:pBdr>
          <w:top w:space="5"/>
          <w:left w:space="5"/>
          <w:bottom w:space="5"/>
          <w:right w:space="5"/>
        </w:pBdr>
        <w:spacing w:after="0"/>
        <w:ind w:left="945"/>
        <w:jc w:val="left"/>
      </w:pPr>
      <w:r>
        <w:rPr>
          <w:rFonts w:ascii="Times New Roman" w:hAnsi="Times New Roman"/>
          <w:b w:val="false"/>
          <w:i w:val="false"/>
          <w:color w:val="000000"/>
          <w:sz w:val="22"/>
        </w:rPr>
        <w:t>(ix) The hearing officer shall issue a written decision as soon as practicable after the conclusion of the hearing or the hearing officer’s receipt of all documentary submissions. If the hearing officer concludes that a violation of the Gratuities clause occurred, the decision shall include:</w:t>
      </w:r>
    </w:p>
    <w:p>
      <w:pPr>
        <w:pBdr>
          <w:top w:space="5"/>
          <w:left w:space="5"/>
          <w:bottom w:space="5"/>
          <w:right w:space="5"/>
        </w:pBdr>
        <w:spacing w:after="0"/>
        <w:ind w:left="1305"/>
        <w:jc w:val="left"/>
      </w:pPr>
      <w:r>
        <w:rPr>
          <w:rFonts w:ascii="Times New Roman" w:hAnsi="Times New Roman"/>
          <w:b w:val="false"/>
          <w:i w:val="false"/>
          <w:color w:val="000000"/>
          <w:sz w:val="22"/>
        </w:rPr>
        <w:t>(A) The findings of fact and conclusions of law that the hearing officer relied upon and</w:t>
      </w:r>
    </w:p>
    <w:p>
      <w:pPr>
        <w:pBdr>
          <w:top w:space="5"/>
          <w:left w:space="5"/>
          <w:bottom w:space="5"/>
          <w:right w:space="5"/>
        </w:pBdr>
        <w:spacing w:after="0"/>
        <w:ind w:left="1305"/>
        <w:jc w:val="left"/>
      </w:pPr>
      <w:r>
        <w:rPr>
          <w:rFonts w:ascii="Times New Roman" w:hAnsi="Times New Roman"/>
          <w:b w:val="false"/>
          <w:i w:val="false"/>
          <w:color w:val="000000"/>
          <w:sz w:val="22"/>
        </w:rPr>
        <w:t>(B) The findings of fact, conclusions of law, and recommendations relevant to whether the contractor’s right to proceed under the contract should be terminated, and, if so, whether an assessment of exemplary damages is appropriate and in what amount.</w:t>
      </w:r>
    </w:p>
    <w:p>
      <w:pPr>
        <w:pBdr>
          <w:top w:space="5"/>
          <w:left w:space="5"/>
          <w:bottom w:space="5"/>
          <w:right w:space="5"/>
        </w:pBdr>
        <w:spacing w:after="0"/>
        <w:ind w:left="945"/>
        <w:jc w:val="left"/>
      </w:pPr>
      <w:r>
        <w:rPr>
          <w:rFonts w:ascii="Times New Roman" w:hAnsi="Times New Roman"/>
          <w:b w:val="false"/>
          <w:i w:val="false"/>
          <w:color w:val="000000"/>
          <w:sz w:val="22"/>
        </w:rPr>
        <w:t>(x) If the hearing officer determines that a violation of the Gratuities clause occurred, the hearing officer will submit the written decision and evidentiary record to the responsible HCA.</w:t>
      </w:r>
    </w:p>
    <w:p>
      <w:pPr>
        <w:pBdr>
          <w:top w:space="5"/>
          <w:left w:space="5"/>
          <w:bottom w:space="5"/>
          <w:right w:space="5"/>
        </w:pBdr>
        <w:spacing w:after="0"/>
        <w:ind w:left="225"/>
        <w:jc w:val="left"/>
      </w:pPr>
      <w:r>
        <w:rPr>
          <w:rFonts w:ascii="Times New Roman" w:hAnsi="Times New Roman"/>
          <w:b w:val="false"/>
          <w:i w:val="false"/>
          <w:color w:val="000000"/>
          <w:sz w:val="22"/>
        </w:rPr>
        <w:t>(c)(i) As soon as practicable upon receipt of the written decision and evidentiary record the Assistant Secretary of the Army (Acquisition, Logistics and Technology) shall determine whether to terminate the contractor’s right to proceed under the contract, and, if so, whether to assess exemplary damages and in what amount. The decision will be the final decision of the Department of the Army with respect to those determinations.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