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**ID__AFARS_5137.5906__ID**</w:t>
      </w:r>
    </w:p>
    <w:p>
      <w:pPr>
        <w:pStyle w:val="Heading3"/>
        <w:spacing w:after="199"/>
        <w:ind w:left="120"/>
        <w:jc w:val="left"/>
      </w:pPr>
      <w:r>
        <w:rPr>
          <w:rFonts w:ascii="Times New Roman" w:hAnsi="Times New Roman"/>
          <w:color w:val="000000"/>
          <w:sz w:val="31"/>
        </w:rPr>
        <w:t>5137.590-6</w:t>
      </w:r>
      <w:r>
        <w:rPr>
          <w:rFonts w:ascii="Times New Roman" w:hAnsi="Times New Roman"/>
          <w:color w:val="000000"/>
          <w:sz w:val="31"/>
        </w:rPr>
        <w:t xml:space="preserve"> Acquisition strategy content.</w:t>
      </w:r>
    </w:p>
    <w:p>
      <w:pPr>
        <w:pBdr>
          <w:top w:space="5"/>
          <w:left w:space="5"/>
          <w:bottom w:space="5"/>
          <w:right w:space="5"/>
        </w:pBdr>
        <w:spacing w:after="0"/>
        <w:ind w:left="225"/>
        <w:jc w:val="left"/>
      </w:pPr>
      <w:r>
        <w:rPr>
          <w:rFonts w:ascii="Times New Roman" w:hAnsi="Times New Roman"/>
          <w:b w:val="false"/>
          <w:i w:val="false"/>
          <w:color w:val="000000"/>
          <w:sz w:val="22"/>
        </w:rPr>
        <w:t>(a) At a minimum, the acquisition strategy will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Requirement.</w:t>
      </w:r>
      <w:r>
        <w:rPr>
          <w:rFonts w:ascii="Times New Roman" w:hAnsi="Times New Roman"/>
          <w:b w:val="false"/>
          <w:i w:val="false"/>
          <w:color w:val="000000"/>
          <w:sz w:val="22"/>
        </w:rPr>
        <w:t xml:space="preserve"> The outcomes to be satisfied and if such outcomes are performance-based (see FAR subpart 37.6). If not performance-based, obtain the Senior Procurement Executive’s approval for acquisitions exceeding the dollar threshold identified at DFARS 237.170-2(a)(2). Address the service acquisition measures of success and how the requirement will be satisfied or was previously satisfied.</w:t>
      </w:r>
    </w:p>
    <w:p>
      <w:pPr>
        <w:pBdr>
          <w:top w:space="5"/>
          <w:left w:space="5"/>
          <w:bottom w:space="5"/>
          <w:right w:space="5"/>
        </w:pBdr>
        <w:spacing w:after="0"/>
        <w:ind w:left="945"/>
        <w:jc w:val="left"/>
      </w:pPr>
      <w:r>
        <w:rPr>
          <w:rFonts w:ascii="Times New Roman" w:hAnsi="Times New Roman"/>
          <w:b w:val="false"/>
          <w:i w:val="false"/>
          <w:color w:val="000000"/>
          <w:sz w:val="22"/>
        </w:rPr>
        <w:t>(i) Will the requirement be satisfied through the use of a non-DOD contract? If so, indicate whether the appropriate official has approved the acquisition in accordance with the policy and procedures described at 5117.770.</w:t>
      </w:r>
    </w:p>
    <w:p>
      <w:pPr>
        <w:pBdr>
          <w:top w:space="5"/>
          <w:left w:space="5"/>
          <w:bottom w:space="5"/>
          <w:right w:space="5"/>
        </w:pBdr>
        <w:spacing w:after="0"/>
        <w:ind w:left="945"/>
        <w:jc w:val="left"/>
      </w:pPr>
      <w:r>
        <w:rPr>
          <w:rFonts w:ascii="Times New Roman" w:hAnsi="Times New Roman"/>
          <w:b w:val="false"/>
          <w:i w:val="false"/>
          <w:color w:val="000000"/>
          <w:sz w:val="22"/>
        </w:rPr>
        <w:t>(ii) Include a discussion of the procurement history.</w:t>
      </w:r>
    </w:p>
    <w:p>
      <w:pPr>
        <w:pBdr>
          <w:top w:space="5"/>
          <w:left w:space="5"/>
          <w:bottom w:space="5"/>
          <w:right w:space="5"/>
        </w:pBdr>
        <w:spacing w:after="0"/>
        <w:ind w:left="945"/>
        <w:jc w:val="left"/>
      </w:pPr>
      <w:r>
        <w:rPr>
          <w:rFonts w:ascii="Times New Roman" w:hAnsi="Times New Roman"/>
          <w:b w:val="false"/>
          <w:i w:val="false"/>
          <w:color w:val="000000"/>
          <w:sz w:val="22"/>
        </w:rPr>
        <w:t>(iii) Address challenges that drive the mission or acquisition approach.</w:t>
      </w:r>
    </w:p>
    <w:p>
      <w:pPr>
        <w:pBdr>
          <w:top w:space="5"/>
          <w:left w:space="5"/>
          <w:bottom w:space="5"/>
          <w:right w:space="5"/>
        </w:pBdr>
        <w:spacing w:after="0"/>
        <w:ind w:left="945"/>
        <w:jc w:val="left"/>
      </w:pPr>
      <w:r>
        <w:rPr>
          <w:rFonts w:ascii="Times New Roman" w:hAnsi="Times New Roman"/>
          <w:b w:val="false"/>
          <w:i w:val="false"/>
          <w:color w:val="000000"/>
          <w:sz w:val="22"/>
        </w:rPr>
        <w:t>(iv) Indicate if there is any congressional interest in the requirement.</w:t>
      </w:r>
    </w:p>
    <w:p>
      <w:pPr>
        <w:pBdr>
          <w:top w:space="5"/>
          <w:left w:space="5"/>
          <w:bottom w:space="5"/>
          <w:right w:space="5"/>
        </w:pBdr>
        <w:spacing w:after="0"/>
        <w:ind w:left="945"/>
        <w:jc w:val="left"/>
      </w:pPr>
      <w:r>
        <w:rPr>
          <w:rFonts w:ascii="Times New Roman" w:hAnsi="Times New Roman"/>
          <w:b w:val="false"/>
          <w:i w:val="false"/>
          <w:color w:val="000000"/>
          <w:sz w:val="22"/>
        </w:rPr>
        <w:t>(v) Discuss opportunities for strategic sourcing.</w:t>
      </w:r>
    </w:p>
    <w:p>
      <w:pPr>
        <w:pBdr>
          <w:top w:space="5"/>
          <w:left w:space="5"/>
          <w:bottom w:space="5"/>
          <w:right w:space="5"/>
        </w:pBdr>
        <w:spacing w:after="0"/>
        <w:ind w:left="945"/>
        <w:jc w:val="left"/>
      </w:pPr>
      <w:r>
        <w:rPr>
          <w:rFonts w:ascii="Times New Roman" w:hAnsi="Times New Roman"/>
          <w:b w:val="false"/>
          <w:i w:val="false"/>
          <w:color w:val="000000"/>
          <w:sz w:val="22"/>
        </w:rPr>
        <w:t>(vi) All acquisitions of IT services, regardless of dollar value, are subject to the Clinger-Cohen Act: 40 U.S.C. 11101 et seq. Discuss the specific applicability and implications of the Clinger-Cohen Act.</w:t>
      </w:r>
    </w:p>
    <w:p>
      <w:pPr>
        <w:pBdr>
          <w:top w:space="5"/>
          <w:left w:space="5"/>
          <w:bottom w:space="5"/>
          <w:right w:space="5"/>
        </w:pBdr>
        <w:spacing w:after="0"/>
        <w:ind w:left="945"/>
        <w:jc w:val="left"/>
      </w:pPr>
      <w:r>
        <w:rPr>
          <w:rFonts w:ascii="Times New Roman" w:hAnsi="Times New Roman"/>
          <w:b w:val="false"/>
          <w:i w:val="false"/>
          <w:color w:val="000000"/>
          <w:sz w:val="22"/>
        </w:rPr>
        <w:t>(vii) Describe the use of Category Management procedures when planning for this acquisition. Category Management is the business practice of buying common goods and services using an enterprise approach to reduce redundancies, increase effiencies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pPr>
        <w:pBdr>
          <w:top w:space="5"/>
          <w:left w:space="5"/>
          <w:bottom w:space="5"/>
          <w:right w:space="5"/>
        </w:pBdr>
        <w:spacing w:after="0"/>
        <w:ind w:left="1305"/>
        <w:jc w:val="left"/>
      </w:pPr>
      <w:r>
        <w:rPr>
          <w:rFonts w:ascii="Times New Roman" w:hAnsi="Times New Roman"/>
          <w:b w:val="false"/>
          <w:i w:val="false"/>
          <w:color w:val="000000"/>
          <w:sz w:val="22"/>
        </w:rPr>
        <w:t>(a) Discuss review of existing Spend Under Management (SUM) contracts and how the command analyzed specific requirement in context of all forecasted contract requirements within the command/enterprise.</w:t>
      </w:r>
    </w:p>
    <w:p>
      <w:pPr>
        <w:pBdr>
          <w:top w:space="5"/>
          <w:left w:space="5"/>
          <w:bottom w:space="5"/>
          <w:right w:space="5"/>
        </w:pBdr>
        <w:spacing w:after="0"/>
        <w:ind w:left="1305"/>
        <w:jc w:val="left"/>
      </w:pPr>
      <w:r>
        <w:rPr>
          <w:rFonts w:ascii="Times New Roman" w:hAnsi="Times New Roman"/>
          <w:b w:val="false"/>
          <w:i w:val="false"/>
          <w:color w:val="000000"/>
          <w:sz w:val="22"/>
        </w:rPr>
        <w:t>(b) If a SUM contract was not utilized, provide rationale for utilizing a Tier 0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Risk Management.</w:t>
      </w:r>
      <w:r>
        <w:rPr>
          <w:rFonts w:ascii="Times New Roman" w:hAnsi="Times New Roman"/>
          <w:b w:val="false"/>
          <w:i w:val="false"/>
          <w:color w:val="000000"/>
          <w:sz w:val="22"/>
        </w:rPr>
        <w:t xml:space="preserve"> Provide an assessment of current and potential technical, cost, schedule and performance risks, the level of stated risks, and a risk mitigation plan.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Competition.</w:t>
      </w:r>
      <w:r>
        <w:rPr>
          <w:rFonts w:ascii="Times New Roman" w:hAnsi="Times New Roman"/>
          <w:b w:val="false"/>
          <w:i w:val="false"/>
          <w:color w:val="000000"/>
          <w:sz w:val="22"/>
        </w:rPr>
        <w:t xml:space="preserve"> Explain how the acquisition will provide for full and open competition. If other than full and open competition applies to the acquisition, explain why and include a citation of the statutory authority that allows for other than full and open competition. Address plans for competition for any foreseeable follow-on acquisitions.</w:t>
      </w:r>
    </w:p>
    <w:p>
      <w:pPr>
        <w:pBdr>
          <w:top w:space="5"/>
          <w:left w:space="5"/>
          <w:bottom w:space="5"/>
          <w:right w:space="5"/>
        </w:pBdr>
        <w:spacing w:after="0"/>
        <w:ind w:left="945"/>
        <w:jc w:val="left"/>
      </w:pPr>
      <w:r>
        <w:rPr>
          <w:rFonts w:ascii="Times New Roman" w:hAnsi="Times New Roman"/>
          <w:b w:val="false"/>
          <w:i w:val="false"/>
          <w:color w:val="000000"/>
          <w:sz w:val="22"/>
        </w:rPr>
        <w:t>(i) Describe the nature and extent of the market research that the Government acquisition team conducted. This should, at a minimum, address the identification of small business sources capable of performing the services and discuss how this information impacted the acquisition strategy for both prime and subcontracting opportunities.</w:t>
      </w:r>
    </w:p>
    <w:p>
      <w:pPr>
        <w:pBdr>
          <w:top w:space="5"/>
          <w:left w:space="5"/>
          <w:bottom w:space="5"/>
          <w:right w:space="5"/>
        </w:pBdr>
        <w:spacing w:after="0"/>
        <w:ind w:left="945"/>
        <w:jc w:val="left"/>
      </w:pPr>
      <w:r>
        <w:rPr>
          <w:rFonts w:ascii="Times New Roman" w:hAnsi="Times New Roman"/>
          <w:b w:val="false"/>
          <w:i w:val="false"/>
          <w:color w:val="000000"/>
          <w:sz w:val="22"/>
        </w:rPr>
        <w:t>(ii) Is this a consolidated requirement? If so, indicate whether appropriate official has approved the consolidation (see 5107.170-3(a)(3)).</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Socio-Economic</w:t>
      </w:r>
      <w:r>
        <w:rPr>
          <w:rFonts w:ascii="Times New Roman" w:hAnsi="Times New Roman"/>
          <w:b w:val="false"/>
          <w:i/>
          <w:color w:val="000000"/>
          <w:sz w:val="22"/>
        </w:rPr>
        <w:t>Implications</w:t>
      </w:r>
      <w:r>
        <w:rPr>
          <w:rFonts w:ascii="Times New Roman" w:hAnsi="Times New Roman"/>
          <w:b w:val="false"/>
          <w:i w:val="false"/>
          <w:color w:val="000000"/>
          <w:sz w:val="22"/>
        </w:rPr>
        <w:t>. Address how the new acquisition will support the achievements of small business goals and targets. Address how the new acquisition will support any other socio-economic program and/or required-source program, such as AbilityOne.</w:t>
      </w:r>
    </w:p>
    <w:p>
      <w:pPr>
        <w:pBdr>
          <w:top w:space="5"/>
          <w:left w:space="5"/>
          <w:bottom w:space="5"/>
          <w:right w:space="5"/>
        </w:pBdr>
        <w:spacing w:after="0"/>
        <w:ind w:left="945"/>
        <w:jc w:val="left"/>
      </w:pPr>
      <w:r>
        <w:rPr>
          <w:rFonts w:ascii="Times New Roman" w:hAnsi="Times New Roman"/>
          <w:b w:val="false"/>
          <w:i w:val="false"/>
          <w:color w:val="000000"/>
          <w:sz w:val="22"/>
        </w:rPr>
        <w:t>(i) If this is a bundled requirement, include the benefit analysis as prescribed in the DoD Benefit Analysis Guidebook located at: http://www.acq.osd.mil/osbp/docs/benefits_analysis_guidebook.pdf.</w:t>
      </w:r>
    </w:p>
    <w:p>
      <w:pPr>
        <w:pBdr>
          <w:top w:space="5"/>
          <w:left w:space="5"/>
          <w:bottom w:space="5"/>
          <w:right w:space="5"/>
        </w:pBdr>
        <w:spacing w:after="0"/>
        <w:ind w:left="945"/>
        <w:jc w:val="left"/>
      </w:pPr>
      <w:r>
        <w:rPr>
          <w:rFonts w:ascii="Times New Roman" w:hAnsi="Times New Roman"/>
          <w:b w:val="false"/>
          <w:i w:val="false"/>
          <w:color w:val="000000"/>
          <w:sz w:val="22"/>
        </w:rPr>
        <w:t>(ii) Indicate whether the Small Business Administration procurement center representative has concurred on the DD Form 2579.</w:t>
      </w:r>
    </w:p>
    <w:p>
      <w:pPr>
        <w:pBdr>
          <w:top w:space="5"/>
          <w:left w:space="5"/>
          <w:bottom w:space="5"/>
          <w:right w:space="5"/>
        </w:pBdr>
        <w:spacing w:after="0"/>
        <w:ind w:left="945"/>
        <w:jc w:val="left"/>
      </w:pPr>
      <w:r>
        <w:rPr>
          <w:rFonts w:ascii="Times New Roman" w:hAnsi="Times New Roman"/>
          <w:b w:val="false"/>
          <w:i w:val="false"/>
          <w:color w:val="000000"/>
          <w:sz w:val="22"/>
        </w:rPr>
        <w:t>(iii) Include a discussion of subcontracting potential and goals.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Business Arrangements.</w:t>
      </w:r>
      <w:r>
        <w:rPr>
          <w:rFonts w:ascii="Times New Roman" w:hAnsi="Times New Roman"/>
          <w:b w:val="false"/>
          <w:i w:val="false"/>
          <w:color w:val="000000"/>
          <w:sz w:val="22"/>
        </w:rPr>
        <w:t xml:space="preserve"> Address how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Include the total estimated dollar value of the procurement, to include all options.</w:t>
      </w:r>
    </w:p>
    <w:p>
      <w:pPr>
        <w:pBdr>
          <w:top w:space="5"/>
          <w:left w:space="5"/>
          <w:bottom w:space="5"/>
          <w:right w:space="5"/>
        </w:pBdr>
        <w:spacing w:after="0"/>
        <w:ind w:left="945"/>
        <w:jc w:val="left"/>
      </w:pPr>
      <w:r>
        <w:rPr>
          <w:rFonts w:ascii="Times New Roman" w:hAnsi="Times New Roman"/>
          <w:b w:val="false"/>
          <w:i w:val="false"/>
          <w:color w:val="000000"/>
          <w:sz w:val="22"/>
        </w:rPr>
        <w:t>(ii) Address whether funding is available and the type of funds that will be used.</w:t>
      </w:r>
    </w:p>
    <w:p>
      <w:pPr>
        <w:pBdr>
          <w:top w:space="5"/>
          <w:left w:space="5"/>
          <w:bottom w:space="5"/>
          <w:right w:space="5"/>
        </w:pBdr>
        <w:spacing w:after="0"/>
        <w:ind w:left="945"/>
        <w:jc w:val="left"/>
      </w:pPr>
      <w:r>
        <w:rPr>
          <w:rFonts w:ascii="Times New Roman" w:hAnsi="Times New Roman"/>
          <w:b w:val="false"/>
          <w:i w:val="false"/>
          <w:color w:val="000000"/>
          <w:sz w:val="22"/>
        </w:rPr>
        <w:t>(iii) Address the contract type and the basis for selection. If the contracting officer anticipates using a contract type with award fee, include a discussion of the award fee plan, related criteria and evaluation process to include how the award fee evaluation will incorporate attainment of the metrics.</w:t>
      </w:r>
    </w:p>
    <w:p>
      <w:pPr>
        <w:pBdr>
          <w:top w:space="5"/>
          <w:left w:space="5"/>
          <w:bottom w:space="5"/>
          <w:right w:space="5"/>
        </w:pBdr>
        <w:spacing w:after="0"/>
        <w:ind w:left="945"/>
        <w:jc w:val="left"/>
      </w:pPr>
      <w:r>
        <w:rPr>
          <w:rFonts w:ascii="Times New Roman" w:hAnsi="Times New Roman"/>
          <w:b w:val="false"/>
          <w:i w:val="false"/>
          <w:color w:val="000000"/>
          <w:sz w:val="22"/>
        </w:rPr>
        <w:t>(iv) Assess long-term continuing requirements using cost-type contracts for conversion to fixed price or other lower risk contractual arrangement, especially when the contracting officer decides to use a cost-type contract after initial analysis indicates that a fixed-price or other low-risk contract instrument may be appropriate.</w:t>
      </w:r>
    </w:p>
    <w:p>
      <w:pPr>
        <w:pBdr>
          <w:top w:space="5"/>
          <w:left w:space="5"/>
          <w:bottom w:space="5"/>
          <w:right w:space="5"/>
        </w:pBdr>
        <w:spacing w:after="0"/>
        <w:ind w:left="945"/>
        <w:jc w:val="left"/>
      </w:pPr>
      <w:r>
        <w:rPr>
          <w:rFonts w:ascii="Times New Roman" w:hAnsi="Times New Roman"/>
          <w:b w:val="false"/>
          <w:i w:val="false"/>
          <w:color w:val="000000"/>
          <w:sz w:val="22"/>
        </w:rPr>
        <w:t>(v) Discuss the source selection process, including whether it will be formal or informal, proposed evaluation criteria, and the basis for award. If the procurement will use a formal source selection process, do not identify the name of the SSA in the strategy.</w:t>
      </w:r>
    </w:p>
    <w:p>
      <w:pPr>
        <w:pBdr>
          <w:top w:space="5"/>
          <w:left w:space="5"/>
          <w:bottom w:space="5"/>
          <w:right w:space="5"/>
        </w:pBdr>
        <w:spacing w:after="0"/>
        <w:ind w:left="945"/>
        <w:jc w:val="left"/>
      </w:pPr>
      <w:r>
        <w:rPr>
          <w:rFonts w:ascii="Times New Roman" w:hAnsi="Times New Roman"/>
          <w:b w:val="false"/>
          <w:i w:val="false"/>
          <w:color w:val="000000"/>
          <w:sz w:val="22"/>
        </w:rPr>
        <w:t>(vi) Discuss any waivers or deviations that will be required.</w:t>
      </w:r>
    </w:p>
    <w:p>
      <w:pPr>
        <w:pBdr>
          <w:top w:space="5"/>
          <w:left w:space="5"/>
          <w:bottom w:space="5"/>
          <w:right w:space="5"/>
        </w:pBdr>
        <w:spacing w:after="0"/>
        <w:ind w:left="945"/>
        <w:jc w:val="left"/>
      </w:pPr>
      <w:r>
        <w:rPr>
          <w:rFonts w:ascii="Times New Roman" w:hAnsi="Times New Roman"/>
          <w:b w:val="false"/>
          <w:i w:val="false"/>
          <w:color w:val="000000"/>
          <w:sz w:val="22"/>
        </w:rPr>
        <w:t>(vii) Discuss contract administration to include the involvement of the contracting officer’s representative and/or the Defense Contract Management Agency.</w:t>
      </w:r>
    </w:p>
    <w:p>
      <w:pPr>
        <w:pBdr>
          <w:top w:space="5"/>
          <w:left w:space="5"/>
          <w:bottom w:space="5"/>
          <w:right w:space="5"/>
        </w:pBdr>
        <w:spacing w:after="0"/>
        <w:ind w:left="945"/>
        <w:jc w:val="left"/>
      </w:pPr>
      <w:r>
        <w:rPr>
          <w:rFonts w:ascii="Times New Roman" w:hAnsi="Times New Roman"/>
          <w:b w:val="false"/>
          <w:i w:val="false"/>
          <w:color w:val="000000"/>
          <w:sz w:val="22"/>
        </w:rPr>
        <w:t>(viii) Discuss the existing or planned management approach following contract award to include the tracking procedures or processes used to monitor contract performance. This approach could include, but not be limited to, a quality assurance surveillance plan and written oversight plans and responsibilities.</w:t>
      </w:r>
    </w:p>
    <w:p>
      <w:pPr>
        <w:pBdr>
          <w:top w:space="5"/>
          <w:left w:space="5"/>
          <w:bottom w:space="5"/>
          <w:right w:space="5"/>
        </w:pBdr>
        <w:spacing w:after="0"/>
        <w:ind w:left="945"/>
        <w:jc w:val="left"/>
      </w:pPr>
      <w:r>
        <w:rPr>
          <w:rFonts w:ascii="Times New Roman" w:hAnsi="Times New Roman"/>
          <w:b w:val="false"/>
          <w:i w:val="false"/>
          <w:color w:val="000000"/>
          <w:sz w:val="22"/>
        </w:rPr>
        <w:t>(ix) Include a milestone schedule which contains key points up to time of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Multi-year contracts.</w:t>
      </w:r>
      <w:r>
        <w:rPr>
          <w:rFonts w:ascii="Times New Roman" w:hAnsi="Times New Roman"/>
          <w:b w:val="false"/>
          <w:i w:val="false"/>
          <w:color w:val="000000"/>
          <w:sz w:val="22"/>
        </w:rPr>
        <w:t xml:space="preserve"> If the acquisition strategy calls for a multi-year service contract as defined in FAR subpart 17.1 (see also DFARS 217.171) under the authority of 10 U.S.C. 2306c, the acquisition strategy must address the Army’s plans for budgeting for termination liability.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Leases.</w:t>
      </w:r>
      <w:r>
        <w:rPr>
          <w:rFonts w:ascii="Times New Roman" w:hAnsi="Times New Roman"/>
          <w:b w:val="false"/>
          <w:i w:val="false"/>
          <w:color w:val="000000"/>
          <w:sz w:val="22"/>
        </w:rPr>
        <w:t xml:space="preserve"> Include a lease-purchase strategy if required by OMB Circular A-94, Section 13.</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Metrics</w:t>
      </w:r>
      <w:r>
        <w:rPr>
          <w:rFonts w:ascii="Times New Roman" w:hAnsi="Times New Roman"/>
          <w:b w:val="false"/>
          <w:i w:val="false"/>
          <w:color w:val="000000"/>
          <w:sz w:val="22"/>
        </w:rPr>
        <w:t>. Address the cost, the schedule and the performance metrics to include the plan for measuring service acquisition outcomes against requirements. If the acquisition strategy does not include metrics, the contracting officer must submit the metrics for the decision authority approval prior to execution of any business instrument (e.g., contract, military interdepartmental purchase request (MIPR)) that initiates the acquisition.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