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**ID__AFARS_5137.5907__ID**</w:t>
      </w:r>
    </w:p>
    <w:p>
      <w:pPr>
        <w:pStyle w:val="Heading3"/>
        <w:spacing w:after="199"/>
        <w:ind w:left="120"/>
        <w:jc w:val="left"/>
      </w:pPr>
      <w:r>
        <w:rPr>
          <w:rFonts w:ascii="Times New Roman" w:hAnsi="Times New Roman"/>
          <w:color w:val="000000"/>
          <w:sz w:val="31"/>
        </w:rPr>
        <w:t>5137.590-7</w:t>
      </w:r>
      <w:r>
        <w:rPr>
          <w:rFonts w:ascii="Times New Roman" w:hAnsi="Times New Roman"/>
          <w:color w:val="000000"/>
          <w:sz w:val="31"/>
        </w:rPr>
        <w:t xml:space="preserve"> Data collection and reporting.</w:t>
      </w:r>
    </w:p>
    <w:p>
      <w:pPr>
        <w:pBdr>
          <w:top w:space="5"/>
          <w:left w:space="5"/>
          <w:bottom w:space="5"/>
          <w:right w:space="5"/>
        </w:pBdr>
        <w:spacing w:after="0"/>
        <w:ind w:left="225"/>
        <w:jc w:val="left"/>
      </w:pPr>
      <w:r>
        <w:rPr>
          <w:rFonts w:ascii="Times New Roman" w:hAnsi="Times New Roman"/>
          <w:b w:val="false"/>
          <w:i w:val="false"/>
          <w:color w:val="000000"/>
          <w:sz w:val="22"/>
        </w:rPr>
        <w:t>(a) Data identified in DoDI 5000.74 Enclosure 6 should be collected by the Office of the Senior Service Manager, for all requirements regardless of dollar amount, and reported in the Annual DoD Services Acquisition Report. Data collection will be automated, as it is already captured in the DoD standard procurement data systems.</w:t>
      </w:r>
    </w:p>
    <w:p>
      <w:pPr>
        <w:pBdr>
          <w:top w:space="5"/>
          <w:left w:space="5"/>
          <w:bottom w:space="5"/>
          <w:right w:space="5"/>
        </w:pBdr>
        <w:spacing w:after="0"/>
        <w:ind w:left="225"/>
        <w:jc w:val="left"/>
      </w:pPr>
      <w:r>
        <w:rPr>
          <w:rFonts w:ascii="Times New Roman" w:hAnsi="Times New Roman"/>
          <w:b w:val="false"/>
          <w:i w:val="false"/>
          <w:color w:val="000000"/>
          <w:sz w:val="22"/>
        </w:rPr>
        <w:t>(b) Post award peer reviews will be done in accordance with 5101.170(b)(vi) for actions with a total planned dollar value of $250 million or more but less than $1 billion. For actions over $1 billion, reviews will be done in accordance with 5101.170(a).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