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**ID__AFARS_5139.10190__ID**</w:t>
      </w:r>
    </w:p>
    <w:p>
      <w:pPr>
        <w:pStyle w:val="Heading4"/>
        <w:spacing w:after="269"/>
        <w:ind w:left="120"/>
        <w:jc w:val="left"/>
      </w:pPr>
      <w:r>
        <w:rPr>
          <w:rFonts w:ascii="Times New Roman" w:hAnsi="Times New Roman"/>
          <w:i w:val="false"/>
          <w:color w:val="000000"/>
          <w:sz w:val="24"/>
        </w:rPr>
        <w:t>5139.101-90</w:t>
      </w:r>
      <w:r>
        <w:rPr>
          <w:rFonts w:ascii="Times New Roman" w:hAnsi="Times New Roman"/>
          <w:i w:val="false"/>
          <w:color w:val="000000"/>
          <w:sz w:val="24"/>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Commercial information t</w:t>
      </w:r>
      <w:r>
        <w:rPr>
          <w:rFonts w:ascii="Times New Roman" w:hAnsi="Times New Roman"/>
          <w:b w:val="false"/>
          <w:i/>
          <w:color w:val="000000"/>
          <w:sz w:val="22"/>
        </w:rPr>
        <w:t>echnology hardware and software.</w:t>
      </w:r>
    </w:p>
    <w:p>
      <w:pPr>
        <w:pBdr>
          <w:top w:space="5"/>
          <w:left w:space="5"/>
          <w:bottom w:space="5"/>
          <w:right w:space="5"/>
        </w:pBdr>
        <w:spacing w:after="0"/>
        <w:ind w:left="585"/>
        <w:jc w:val="left"/>
      </w:pPr>
      <w:r>
        <w:rPr>
          <w:rFonts w:ascii="Times New Roman" w:hAnsi="Times New Roman"/>
          <w:b w:val="false"/>
          <w:i w:val="false"/>
          <w:color w:val="000000"/>
          <w:sz w:val="22"/>
        </w:rPr>
        <w:t>(1) 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appropiation. Additionally, purchasers of IT requirements through a third party such as a system integrator must ensure solicitations and contract vehicles include the requirement to purchase through the CHESS and the DoD ESI agreements.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IT hardware or software purchase made outside of the CHESS contracts requires an Army Deputy Chief of Staff (DCS), G-6 approved ITAS Approval, unless the purchase meets one of the exceptions in (a)(3) below.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Statement of Non-Availability (SONA)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The Product Lead, Common Hardware Systems (PdL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PdL CHS to use a CHS contract are exempt from the requirement to obtain a CHESS SONA. In such circumstances, requiring activities will provide PdL CHS’s written authorization to the contracting officer as part of the procurement package. Contracting Officers shall place the written authorization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(ii) Upon receipt of the CHESS SONA from the requiring activity, Contracting Officers may purchase commercial IT hardware or software outside of the CHESS contracts, for procurements in support of</w:t>
      </w:r>
    </w:p>
    <w:p>
      <w:pPr>
        <w:pStyle w:val="Normal"/>
        <w:pBdr>
          <w:top w:space="5"/>
          <w:left w:space="5"/>
          <w:bottom w:space="5"/>
          <w:right w:space="5"/>
        </w:pBdr>
        <w:spacing w:after="0"/>
        <w:ind w:left="225"/>
        <w:jc w:val="left"/>
      </w:pPr>
      <w:r>
        <w:rPr>
          <w:rFonts w:ascii="Times New Roman" w:hAnsi="Times New Roman"/>
          <w:color w:val="000000"/>
        </w:rPr>
        <w:t>Non-Program Executive Officer (PEO)/Project Manager (PM) managed Military Intelligence Program (MIP) systems (Non-PEO/PM managed MIP systems will be requested using the Army G-2 Automated Systems Integration Database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Information technology services.</w:t>
      </w:r>
    </w:p>
    <w:p>
      <w:pPr>
        <w:pBdr>
          <w:top w:space="5"/>
          <w:left w:space="5"/>
          <w:bottom w:space="5"/>
          <w:right w:space="5"/>
        </w:pBdr>
        <w:spacing w:after="0"/>
        <w:ind w:left="585"/>
        <w:jc w:val="left"/>
      </w:pPr>
      <w:r>
        <w:rPr>
          <w:rFonts w:ascii="Times New Roman" w:hAnsi="Times New Roman"/>
          <w:b w:val="false"/>
          <w:i w:val="false"/>
          <w:color w:val="000000"/>
          <w:sz w:val="22"/>
        </w:rPr>
        <w:t>(1) The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Officers shall ensure that the procurement package contains sufficient supporting documentation to assist the contracting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SONA should be requested.</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purchase of commercial IT services made outside of the CHESS contracts requires an Army DCS, G6 approved ITAS Approval.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SONA for items that are not available from CHESS, market research analysis, or other rationale for not using CHESS. The CHESS website located at http://chess.army.mil provides a complete list of CHESS contracts as well as information concerning ITAS Approval and CHESS SONAs. The ITAS Approval website is located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(3) If a services requirement includes any IT hardware and/or software, the Contracting Officer must ensure solicitations and contract vehicles include the requirement to purchase through the J/ELA, DoD ESI agreements, and/or CHESS contracts. If a services requirement includes non-CHESS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Training.</w:t>
      </w:r>
      <w:r>
        <w:rPr>
          <w:rFonts w:ascii="Times New Roman" w:hAnsi="Times New Roman"/>
          <w:b w:val="false"/>
          <w:i w:val="false"/>
          <w:color w:val="000000"/>
          <w:sz w:val="22"/>
        </w:rPr>
        <w:t xml:space="preserve"> Senior contracting officials must ensure that contracting personnel receive appropriate CHESS training, and should ensure that contracting personnel document the training on their individual development plans. Personnel can request CHESS training and view the training slides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https://chess.army.mil/UserTrainingRequest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Cloud Computing</w:t>
      </w:r>
      <w:r>
        <w:rPr>
          <w:rFonts w:ascii="Times New Roman" w:hAnsi="Times New Roman"/>
          <w:b w:val="false"/>
          <w:i w:val="false"/>
          <w:color w:val="000000"/>
          <w:sz w:val="22"/>
        </w:rPr>
        <w:t>. The Army Enterprise Cloud Management Office (ECMO) is the central point for all efforts and processes related to cloud adoption across the Army. The ECMO will establish a standardized cloud architecture which is intended for use by all Army mission areas.</w:t>
      </w:r>
    </w:p>
    <w:p>
      <w:pPr>
        <w:pStyle w:val="Normal"/>
        <w:pBdr>
          <w:top w:space="5"/>
          <w:left w:space="5"/>
          <w:bottom w:space="5"/>
          <w:right w:space="5"/>
        </w:pBdr>
        <w:spacing w:after="0"/>
        <w:ind w:left="225"/>
        <w:jc w:val="left"/>
      </w:pPr>
      <w:r>
        <w:rPr>
          <w:rFonts w:ascii="Times New Roman" w:hAnsi="Times New Roman"/>
          <w:color w:val="000000"/>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probe.army.mil/enterprise-portal/web/itas/home" Type="http://schemas.openxmlformats.org/officeDocument/2006/relationships/hyperlink" Id="rId4"/>
    <Relationship TargetMode="External" Target="https://cprobe.army.mil/enterprise-portal/web/itas/home" Type="http://schemas.openxmlformats.org/officeDocument/2006/relationships/hyperlink" Id="rId5"/>
    <Relationship TargetMode="External" Target="https://chess.army.mil/UserTrainingRequest"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