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**ID__AFARS_5142.1902__ID**</w:t>
      </w:r>
    </w:p>
    <w:p>
      <w:pPr>
        <w:pStyle w:val="Heading4"/>
        <w:spacing w:after="269"/>
        <w:ind w:left="120"/>
        <w:jc w:val="left"/>
      </w:pPr>
      <w:r>
        <w:rPr>
          <w:rFonts w:ascii="Times New Roman" w:hAnsi="Times New Roman"/>
          <w:i w:val="false"/>
          <w:color w:val="000000"/>
          <w:sz w:val="24"/>
        </w:rPr>
        <w:t>5142.190-2</w:t>
      </w:r>
      <w:r>
        <w:rPr>
          <w:rFonts w:ascii="Times New Roman" w:hAnsi="Times New Roman"/>
          <w:i w:val="false"/>
          <w:color w:val="000000"/>
          <w:sz w:val="24"/>
        </w:rPr>
        <w:t xml:space="preserve"> Tracking of contract audit report recommendations.</w:t>
      </w:r>
    </w:p>
    <w:p>
      <w:pPr>
        <w:pBdr>
          <w:top w:space="5"/>
          <w:left w:space="5"/>
          <w:bottom w:space="5"/>
          <w:right w:space="5"/>
        </w:pBdr>
        <w:spacing w:after="0"/>
        <w:ind w:left="225"/>
        <w:jc w:val="left"/>
      </w:pPr>
      <w:r>
        <w:rPr>
          <w:rFonts w:ascii="Times New Roman" w:hAnsi="Times New Roman"/>
          <w:b w:val="false"/>
          <w:i w:val="false"/>
          <w:color w:val="000000"/>
          <w:sz w:val="22"/>
        </w:rPr>
        <w:t>(a) Centrally track all contract audit reports from request for audit through receipt, resolution and disposition. Each contracting or contract administration office, including satellite offices such as Government-owned contractor-operated, shall establish a single entity for requesting, receiving and tracking all audit reports. Provide the activity name, address, attention symbol, point of contact and telephone number of the single entity to the contract administration services office and Defense Contract Audit Agency regions involved.</w:t>
      </w:r>
    </w:p>
    <w:p>
      <w:pPr>
        <w:pBdr>
          <w:top w:space="5"/>
          <w:left w:space="5"/>
          <w:bottom w:space="5"/>
          <w:right w:space="5"/>
        </w:pBdr>
        <w:spacing w:after="0"/>
        <w:ind w:left="225"/>
        <w:jc w:val="left"/>
      </w:pPr>
      <w:r>
        <w:rPr>
          <w:rFonts w:ascii="Times New Roman" w:hAnsi="Times New Roman"/>
          <w:b w:val="false"/>
          <w:i w:val="false"/>
          <w:color w:val="000000"/>
          <w:sz w:val="22"/>
        </w:rPr>
        <w:t>(b) Centrally track and report audit report data in accordance with DoDI 7640.2. Maintain a file for each audit report and include in each file the following information:</w:t>
      </w:r>
    </w:p>
    <w:p>
      <w:pPr>
        <w:pBdr>
          <w:top w:space="5"/>
          <w:left w:space="5"/>
          <w:bottom w:space="5"/>
          <w:right w:space="5"/>
        </w:pBdr>
        <w:spacing w:after="0"/>
        <w:ind w:left="585"/>
        <w:jc w:val="left"/>
      </w:pPr>
      <w:r>
        <w:rPr>
          <w:rFonts w:ascii="Times New Roman" w:hAnsi="Times New Roman"/>
          <w:b w:val="false"/>
          <w:i w:val="false"/>
          <w:color w:val="000000"/>
          <w:sz w:val="22"/>
        </w:rPr>
        <w:t>(1) Report number.</w:t>
      </w:r>
    </w:p>
    <w:p>
      <w:pPr>
        <w:pBdr>
          <w:top w:space="5"/>
          <w:left w:space="5"/>
          <w:bottom w:space="5"/>
          <w:right w:space="5"/>
        </w:pBdr>
        <w:spacing w:after="0"/>
        <w:ind w:left="585"/>
        <w:jc w:val="left"/>
      </w:pPr>
      <w:r>
        <w:rPr>
          <w:rFonts w:ascii="Times New Roman" w:hAnsi="Times New Roman"/>
          <w:b w:val="false"/>
          <w:i w:val="false"/>
          <w:color w:val="000000"/>
          <w:sz w:val="22"/>
        </w:rPr>
        <w:t>(2) Activity address code.</w:t>
      </w:r>
    </w:p>
    <w:p>
      <w:pPr>
        <w:pBdr>
          <w:top w:space="5"/>
          <w:left w:space="5"/>
          <w:bottom w:space="5"/>
          <w:right w:space="5"/>
        </w:pBdr>
        <w:spacing w:after="0"/>
        <w:ind w:left="585"/>
        <w:jc w:val="left"/>
      </w:pPr>
      <w:r>
        <w:rPr>
          <w:rFonts w:ascii="Times New Roman" w:hAnsi="Times New Roman"/>
          <w:b w:val="false"/>
          <w:i w:val="false"/>
          <w:color w:val="000000"/>
          <w:sz w:val="22"/>
        </w:rPr>
        <w:t>(3) Issuing agency.</w:t>
      </w:r>
    </w:p>
    <w:p>
      <w:pPr>
        <w:pBdr>
          <w:top w:space="5"/>
          <w:left w:space="5"/>
          <w:bottom w:space="5"/>
          <w:right w:space="5"/>
        </w:pBdr>
        <w:spacing w:after="0"/>
        <w:ind w:left="585"/>
        <w:jc w:val="left"/>
      </w:pPr>
      <w:r>
        <w:rPr>
          <w:rFonts w:ascii="Times New Roman" w:hAnsi="Times New Roman"/>
          <w:b w:val="false"/>
          <w:i w:val="false"/>
          <w:color w:val="000000"/>
          <w:sz w:val="22"/>
        </w:rPr>
        <w:t>(4) Date of report.</w:t>
      </w:r>
    </w:p>
    <w:p>
      <w:pPr>
        <w:pBdr>
          <w:top w:space="5"/>
          <w:left w:space="5"/>
          <w:bottom w:space="5"/>
          <w:right w:space="5"/>
        </w:pBdr>
        <w:spacing w:after="0"/>
        <w:ind w:left="585"/>
        <w:jc w:val="left"/>
      </w:pPr>
      <w:r>
        <w:rPr>
          <w:rFonts w:ascii="Times New Roman" w:hAnsi="Times New Roman"/>
          <w:b w:val="false"/>
          <w:i w:val="false"/>
          <w:color w:val="000000"/>
          <w:sz w:val="22"/>
        </w:rPr>
        <w:t>(5) Contractor name.</w:t>
      </w:r>
    </w:p>
    <w:p>
      <w:pPr>
        <w:pBdr>
          <w:top w:space="5"/>
          <w:left w:space="5"/>
          <w:bottom w:space="5"/>
          <w:right w:space="5"/>
        </w:pBdr>
        <w:spacing w:after="0"/>
        <w:ind w:left="585"/>
        <w:jc w:val="left"/>
      </w:pPr>
      <w:r>
        <w:rPr>
          <w:rFonts w:ascii="Times New Roman" w:hAnsi="Times New Roman"/>
          <w:b w:val="false"/>
          <w:i w:val="false"/>
          <w:color w:val="000000"/>
          <w:sz w:val="22"/>
        </w:rPr>
        <w:t>(6) Contract number(s).</w:t>
      </w:r>
    </w:p>
    <w:p>
      <w:pPr>
        <w:pBdr>
          <w:top w:space="5"/>
          <w:left w:space="5"/>
          <w:bottom w:space="5"/>
          <w:right w:space="5"/>
        </w:pBdr>
        <w:spacing w:after="0"/>
        <w:ind w:left="585"/>
        <w:jc w:val="left"/>
      </w:pPr>
      <w:r>
        <w:rPr>
          <w:rFonts w:ascii="Times New Roman" w:hAnsi="Times New Roman"/>
          <w:b w:val="false"/>
          <w:i w:val="false"/>
          <w:color w:val="000000"/>
          <w:sz w:val="22"/>
        </w:rPr>
        <w:t>(7) Organization responsible for disposition.</w:t>
      </w:r>
    </w:p>
    <w:p>
      <w:pPr>
        <w:pBdr>
          <w:top w:space="5"/>
          <w:left w:space="5"/>
          <w:bottom w:space="5"/>
          <w:right w:space="5"/>
        </w:pBdr>
        <w:spacing w:after="0"/>
        <w:ind w:left="585"/>
        <w:jc w:val="left"/>
      </w:pPr>
      <w:r>
        <w:rPr>
          <w:rFonts w:ascii="Times New Roman" w:hAnsi="Times New Roman"/>
          <w:b w:val="false"/>
          <w:i w:val="false"/>
          <w:color w:val="000000"/>
          <w:sz w:val="22"/>
        </w:rPr>
        <w:t>(8) Contracting officer responsible for disposition.</w:t>
      </w:r>
    </w:p>
    <w:p>
      <w:pPr>
        <w:pBdr>
          <w:top w:space="5"/>
          <w:left w:space="5"/>
          <w:bottom w:space="5"/>
          <w:right w:space="5"/>
        </w:pBdr>
        <w:spacing w:after="0"/>
        <w:ind w:left="585"/>
        <w:jc w:val="left"/>
      </w:pPr>
      <w:r>
        <w:rPr>
          <w:rFonts w:ascii="Times New Roman" w:hAnsi="Times New Roman"/>
          <w:b w:val="false"/>
          <w:i w:val="false"/>
          <w:color w:val="000000"/>
          <w:sz w:val="22"/>
        </w:rPr>
        <w:t>(9) Total amount subjected to audit.</w:t>
      </w:r>
    </w:p>
    <w:p>
      <w:pPr>
        <w:pBdr>
          <w:top w:space="5"/>
          <w:left w:space="5"/>
          <w:bottom w:space="5"/>
          <w:right w:space="5"/>
        </w:pBdr>
        <w:spacing w:after="0"/>
        <w:ind w:left="585"/>
        <w:jc w:val="left"/>
      </w:pPr>
      <w:r>
        <w:rPr>
          <w:rFonts w:ascii="Times New Roman" w:hAnsi="Times New Roman"/>
          <w:b w:val="false"/>
          <w:i w:val="false"/>
          <w:color w:val="000000"/>
          <w:sz w:val="22"/>
        </w:rPr>
        <w:t>(10) Total questioned costs.</w:t>
      </w:r>
    </w:p>
    <w:p>
      <w:pPr>
        <w:pBdr>
          <w:top w:space="5"/>
          <w:left w:space="5"/>
          <w:bottom w:space="5"/>
          <w:right w:space="5"/>
        </w:pBdr>
        <w:spacing w:after="0"/>
        <w:ind w:left="225"/>
        <w:jc w:val="left"/>
      </w:pPr>
      <w:r>
        <w:rPr>
          <w:rFonts w:ascii="Times New Roman" w:hAnsi="Times New Roman"/>
          <w:b w:val="false"/>
          <w:i w:val="false"/>
          <w:color w:val="000000"/>
          <w:sz w:val="22"/>
        </w:rPr>
        <w:t>(c) For reportable audit reports, the central files shall also include the following information:</w:t>
      </w:r>
    </w:p>
    <w:p>
      <w:pPr>
        <w:pBdr>
          <w:top w:space="5"/>
          <w:left w:space="5"/>
          <w:bottom w:space="5"/>
          <w:right w:space="5"/>
        </w:pBdr>
        <w:spacing w:after="0"/>
        <w:ind w:left="585"/>
        <w:jc w:val="left"/>
      </w:pPr>
      <w:r>
        <w:rPr>
          <w:rFonts w:ascii="Times New Roman" w:hAnsi="Times New Roman"/>
          <w:b w:val="false"/>
          <w:i w:val="false"/>
          <w:color w:val="000000"/>
          <w:sz w:val="22"/>
        </w:rPr>
        <w:t>(1) Type(s) of recommendations contained in report. Use the codes in DoDI 7640.2.</w:t>
      </w:r>
    </w:p>
    <w:p>
      <w:pPr>
        <w:pBdr>
          <w:top w:space="5"/>
          <w:left w:space="5"/>
          <w:bottom w:space="5"/>
          <w:right w:space="5"/>
        </w:pBdr>
        <w:spacing w:after="0"/>
        <w:ind w:left="585"/>
        <w:jc w:val="left"/>
      </w:pPr>
      <w:r>
        <w:rPr>
          <w:rFonts w:ascii="Times New Roman" w:hAnsi="Times New Roman"/>
          <w:b w:val="false"/>
          <w:i w:val="false"/>
          <w:color w:val="000000"/>
          <w:sz w:val="22"/>
        </w:rPr>
        <w:t>(2) Target date of resolution.</w:t>
      </w:r>
    </w:p>
    <w:p>
      <w:pPr>
        <w:pBdr>
          <w:top w:space="5"/>
          <w:left w:space="5"/>
          <w:bottom w:space="5"/>
          <w:right w:space="5"/>
        </w:pBdr>
        <w:spacing w:after="0"/>
        <w:ind w:left="585"/>
        <w:jc w:val="left"/>
      </w:pPr>
      <w:r>
        <w:rPr>
          <w:rFonts w:ascii="Times New Roman" w:hAnsi="Times New Roman"/>
          <w:b w:val="false"/>
          <w:i w:val="false"/>
          <w:color w:val="000000"/>
          <w:sz w:val="22"/>
        </w:rPr>
        <w:t>(3) Actual date of resolution.</w:t>
      </w:r>
    </w:p>
    <w:p>
      <w:pPr>
        <w:pBdr>
          <w:top w:space="5"/>
          <w:left w:space="5"/>
          <w:bottom w:space="5"/>
          <w:right w:space="5"/>
        </w:pBdr>
        <w:spacing w:after="0"/>
        <w:ind w:left="585"/>
        <w:jc w:val="left"/>
      </w:pPr>
      <w:r>
        <w:rPr>
          <w:rFonts w:ascii="Times New Roman" w:hAnsi="Times New Roman"/>
          <w:b w:val="false"/>
          <w:i w:val="false"/>
          <w:color w:val="000000"/>
          <w:sz w:val="22"/>
        </w:rPr>
        <w:t>(4) Target date for disposition.</w:t>
      </w:r>
    </w:p>
    <w:p>
      <w:pPr>
        <w:pBdr>
          <w:top w:space="5"/>
          <w:left w:space="5"/>
          <w:bottom w:space="5"/>
          <w:right w:space="5"/>
        </w:pBdr>
        <w:spacing w:after="0"/>
        <w:ind w:left="585"/>
        <w:jc w:val="left"/>
      </w:pPr>
      <w:r>
        <w:rPr>
          <w:rFonts w:ascii="Times New Roman" w:hAnsi="Times New Roman"/>
          <w:b w:val="false"/>
          <w:i w:val="false"/>
          <w:color w:val="000000"/>
          <w:sz w:val="22"/>
        </w:rPr>
        <w:t>(5) Date of final decision (if any) of contracting officer.</w:t>
      </w:r>
    </w:p>
    <w:p>
      <w:pPr>
        <w:pBdr>
          <w:top w:space="5"/>
          <w:left w:space="5"/>
          <w:bottom w:space="5"/>
          <w:right w:space="5"/>
        </w:pBdr>
        <w:spacing w:after="0"/>
        <w:ind w:left="585"/>
        <w:jc w:val="left"/>
      </w:pPr>
      <w:r>
        <w:rPr>
          <w:rFonts w:ascii="Times New Roman" w:hAnsi="Times New Roman"/>
          <w:b w:val="false"/>
          <w:i w:val="false"/>
          <w:color w:val="000000"/>
          <w:sz w:val="22"/>
        </w:rPr>
        <w:t>(6) Date of filing with Armed Services Board of Contract Appeals or court (if any) and docket or case number.</w:t>
      </w:r>
    </w:p>
    <w:p>
      <w:pPr>
        <w:pBdr>
          <w:top w:space="5"/>
          <w:left w:space="5"/>
          <w:bottom w:space="5"/>
          <w:right w:space="5"/>
        </w:pBdr>
        <w:spacing w:after="0"/>
        <w:ind w:left="585"/>
        <w:jc w:val="left"/>
      </w:pPr>
      <w:r>
        <w:rPr>
          <w:rFonts w:ascii="Times New Roman" w:hAnsi="Times New Roman"/>
          <w:b w:val="false"/>
          <w:i w:val="false"/>
          <w:color w:val="000000"/>
          <w:sz w:val="22"/>
        </w:rPr>
        <w:t>(7) Disposition results in terms of questioned costs sustained.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