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**ID__AFARS_5142.1904__ID**</w:t>
      </w:r>
    </w:p>
    <w:p>
      <w:pPr>
        <w:pStyle w:val="Heading4"/>
        <w:spacing w:after="269"/>
        <w:ind w:left="120"/>
        <w:jc w:val="left"/>
      </w:pPr>
      <w:r>
        <w:rPr>
          <w:rFonts w:ascii="Times New Roman" w:hAnsi="Times New Roman"/>
          <w:i w:val="false"/>
          <w:color w:val="000000"/>
          <w:sz w:val="24"/>
        </w:rPr>
        <w:t>5142.190-4</w:t>
      </w:r>
      <w:r>
        <w:rPr>
          <w:rFonts w:ascii="Times New Roman" w:hAnsi="Times New Roman"/>
          <w:i w:val="false"/>
          <w:color w:val="000000"/>
          <w:sz w:val="24"/>
        </w:rPr>
        <w:t xml:space="preserve"> Overage Audit Review Boards.</w:t>
      </w:r>
    </w:p>
    <w:p>
      <w:pPr>
        <w:pBdr>
          <w:top w:space="5"/>
          <w:left w:space="5"/>
          <w:bottom w:space="5"/>
          <w:right w:space="5"/>
        </w:pBdr>
        <w:spacing w:after="0"/>
        <w:ind w:left="225"/>
        <w:jc w:val="left"/>
      </w:pPr>
      <w:r>
        <w:rPr>
          <w:rFonts w:ascii="Times New Roman" w:hAnsi="Times New Roman"/>
          <w:b w:val="false"/>
          <w:i w:val="false"/>
          <w:color w:val="000000"/>
          <w:sz w:val="22"/>
        </w:rPr>
        <w:t>(a) Make every effort to resolve audit recommendations within six months of the date of an audit report and dispose them within 12 months. Each SCO shall establish and chair an Overage Audit Review Board (the Board) to review the status of open audits reported as overage or unresolved on the Status Report on Specified Contract Audit Reports. The SCO shall chair the Board. The Board shall –</w:t>
      </w:r>
    </w:p>
    <w:p>
      <w:pPr>
        <w:pBdr>
          <w:top w:space="5"/>
          <w:left w:space="5"/>
          <w:bottom w:space="5"/>
          <w:right w:space="5"/>
        </w:pBdr>
        <w:spacing w:after="0"/>
        <w:ind w:left="585"/>
        <w:jc w:val="left"/>
      </w:pPr>
      <w:r>
        <w:rPr>
          <w:rFonts w:ascii="Times New Roman" w:hAnsi="Times New Roman"/>
          <w:b w:val="false"/>
          <w:i w:val="false"/>
          <w:color w:val="000000"/>
          <w:sz w:val="22"/>
        </w:rPr>
        <w:t>(1) Be composed of the contracting activity’s senior legal, contracting, and pricing personnel;</w:t>
      </w:r>
    </w:p>
    <w:p>
      <w:pPr>
        <w:pBdr>
          <w:top w:space="5"/>
          <w:left w:space="5"/>
          <w:bottom w:space="5"/>
          <w:right w:space="5"/>
        </w:pBdr>
        <w:spacing w:after="0"/>
        <w:ind w:left="585"/>
        <w:jc w:val="left"/>
      </w:pPr>
      <w:r>
        <w:rPr>
          <w:rFonts w:ascii="Times New Roman" w:hAnsi="Times New Roman"/>
          <w:b w:val="false"/>
          <w:i w:val="false"/>
          <w:color w:val="000000"/>
          <w:sz w:val="22"/>
        </w:rPr>
        <w:t>(2) Review all open, unresolved audits over six months old and resolved audits over 12 months old that are reported as open on the most recent Status Report on Specified Contract Audit Reports;</w:t>
      </w:r>
    </w:p>
    <w:p>
      <w:pPr>
        <w:pBdr>
          <w:top w:space="5"/>
          <w:left w:space="5"/>
          <w:bottom w:space="5"/>
          <w:right w:space="5"/>
        </w:pBdr>
        <w:spacing w:after="0"/>
        <w:ind w:left="585"/>
        <w:jc w:val="left"/>
      </w:pPr>
      <w:r>
        <w:rPr>
          <w:rFonts w:ascii="Times New Roman" w:hAnsi="Times New Roman"/>
          <w:b w:val="false"/>
          <w:i w:val="false"/>
          <w:color w:val="000000"/>
          <w:sz w:val="22"/>
        </w:rPr>
        <w:t>(3) Meet early in November to consider those audits reported on the report due 15 October and early in May to consider those audits listed on the report due 15 April. The Board may meet at other times, as necessary;</w:t>
      </w:r>
    </w:p>
    <w:p>
      <w:pPr>
        <w:pBdr>
          <w:top w:space="5"/>
          <w:left w:space="5"/>
          <w:bottom w:space="5"/>
          <w:right w:space="5"/>
        </w:pBdr>
        <w:spacing w:after="0"/>
        <w:ind w:left="585"/>
        <w:jc w:val="left"/>
      </w:pPr>
      <w:r>
        <w:rPr>
          <w:rFonts w:ascii="Times New Roman" w:hAnsi="Times New Roman"/>
          <w:b w:val="false"/>
          <w:i w:val="false"/>
          <w:color w:val="000000"/>
          <w:sz w:val="22"/>
        </w:rPr>
        <w:t>(4) Hear the contracting officer’s presentation of efforts to resolve and dispose the audit recommendations;</w:t>
      </w:r>
    </w:p>
    <w:p>
      <w:pPr>
        <w:pBdr>
          <w:top w:space="5"/>
          <w:left w:space="5"/>
          <w:bottom w:space="5"/>
          <w:right w:space="5"/>
        </w:pBdr>
        <w:spacing w:after="0"/>
        <w:ind w:left="585"/>
        <w:jc w:val="left"/>
      </w:pPr>
      <w:r>
        <w:rPr>
          <w:rFonts w:ascii="Times New Roman" w:hAnsi="Times New Roman"/>
          <w:b w:val="false"/>
          <w:i w:val="false"/>
          <w:color w:val="000000"/>
          <w:sz w:val="22"/>
        </w:rPr>
        <w:t>(5) Assist the contracting officer in developing a plan of action for timely resolution and disposition of the audit recommendations; and</w:t>
      </w:r>
    </w:p>
    <w:p>
      <w:pPr>
        <w:pBdr>
          <w:top w:space="5"/>
          <w:left w:space="5"/>
          <w:bottom w:space="5"/>
          <w:right w:space="5"/>
        </w:pBdr>
        <w:spacing w:after="0"/>
        <w:ind w:left="585"/>
        <w:jc w:val="left"/>
      </w:pPr>
      <w:r>
        <w:rPr>
          <w:rFonts w:ascii="Times New Roman" w:hAnsi="Times New Roman"/>
          <w:b w:val="false"/>
          <w:i w:val="false"/>
          <w:color w:val="000000"/>
          <w:sz w:val="22"/>
        </w:rPr>
        <w:t>(6) Provide the contracting officer with necessary guidance and assistance to resolve and dispose the audit recommendations. This shall include reordering priorities, assigning additional or alternate resources or committing the personal attention of the HCA or the SCO to the effort.</w:t>
      </w:r>
    </w:p>
    <w:p>
      <w:pPr>
        <w:pBdr>
          <w:top w:space="5"/>
          <w:left w:space="5"/>
          <w:bottom w:space="5"/>
          <w:right w:space="5"/>
        </w:pBdr>
        <w:spacing w:after="0"/>
        <w:ind w:left="225"/>
        <w:jc w:val="left"/>
      </w:pPr>
      <w:r>
        <w:rPr>
          <w:rFonts w:ascii="Times New Roman" w:hAnsi="Times New Roman"/>
          <w:b w:val="false"/>
          <w:i w:val="false"/>
          <w:color w:val="000000"/>
          <w:sz w:val="22"/>
        </w:rPr>
        <w:t>(b) If the SCO determines that it is not practical to have the contracting officer attend the Board meeting because of distance or other reasons, video teleconferencing may be used.</w:t>
      </w:r>
    </w:p>
    <w:p>
      <w:pPr>
        <w:pBdr>
          <w:top w:space="5"/>
          <w:left w:space="5"/>
          <w:bottom w:space="5"/>
          <w:right w:space="5"/>
        </w:pBdr>
        <w:spacing w:after="0"/>
        <w:ind w:left="225"/>
        <w:jc w:val="left"/>
      </w:pPr>
      <w:r>
        <w:rPr>
          <w:rFonts w:ascii="Times New Roman" w:hAnsi="Times New Roman"/>
          <w:b w:val="false"/>
          <w:i w:val="false"/>
          <w:color w:val="000000"/>
          <w:sz w:val="22"/>
        </w:rPr>
        <w:t>(c) Upon completion of its review, but not later than 30 November and 31 May, the Overage Audit Review Board shall submit to the addressee in 5101.290(b)(2)(ii)(B), under a summary cover letter from the SCO, a detailed plan of action for the resolution and disposition of each audit report in the four major categories listed in (1).</w:t>
      </w:r>
    </w:p>
    <w:p>
      <w:pPr>
        <w:pBdr>
          <w:top w:space="5"/>
          <w:left w:space="5"/>
          <w:bottom w:space="5"/>
          <w:right w:space="5"/>
        </w:pBdr>
        <w:spacing w:after="0"/>
        <w:ind w:left="585"/>
        <w:jc w:val="left"/>
      </w:pPr>
      <w:r>
        <w:rPr>
          <w:rFonts w:ascii="Times New Roman" w:hAnsi="Times New Roman"/>
          <w:b w:val="false"/>
          <w:i w:val="false"/>
          <w:color w:val="000000"/>
          <w:sz w:val="22"/>
        </w:rPr>
        <w:t>(1) The Board shall separate the audits into the following four major categories for reporting:</w:t>
      </w:r>
    </w:p>
    <w:p>
      <w:pPr>
        <w:pBdr>
          <w:top w:space="5"/>
          <w:left w:space="5"/>
          <w:bottom w:space="5"/>
          <w:right w:space="5"/>
        </w:pBdr>
        <w:spacing w:after="0"/>
        <w:ind w:left="945"/>
        <w:jc w:val="left"/>
      </w:pPr>
      <w:r>
        <w:rPr>
          <w:rFonts w:ascii="Times New Roman" w:hAnsi="Times New Roman"/>
          <w:b w:val="false"/>
          <w:i w:val="false"/>
          <w:color w:val="000000"/>
          <w:sz w:val="22"/>
        </w:rPr>
        <w:t>(i) 6-12 months old, unresolved.</w:t>
      </w:r>
    </w:p>
    <w:p>
      <w:pPr>
        <w:pBdr>
          <w:top w:space="5"/>
          <w:left w:space="5"/>
          <w:bottom w:space="5"/>
          <w:right w:space="5"/>
        </w:pBdr>
        <w:spacing w:after="0"/>
        <w:ind w:left="945"/>
        <w:jc w:val="left"/>
      </w:pPr>
      <w:r>
        <w:rPr>
          <w:rFonts w:ascii="Times New Roman" w:hAnsi="Times New Roman"/>
          <w:b w:val="false"/>
          <w:i w:val="false"/>
          <w:color w:val="000000"/>
          <w:sz w:val="22"/>
        </w:rPr>
        <w:t>(ii) Overage (over 12 months old), unresolved.</w:t>
      </w:r>
    </w:p>
    <w:p>
      <w:pPr>
        <w:pBdr>
          <w:top w:space="5"/>
          <w:left w:space="5"/>
          <w:bottom w:space="5"/>
          <w:right w:space="5"/>
        </w:pBdr>
        <w:spacing w:after="0"/>
        <w:ind w:left="945"/>
        <w:jc w:val="left"/>
      </w:pPr>
      <w:r>
        <w:rPr>
          <w:rFonts w:ascii="Times New Roman" w:hAnsi="Times New Roman"/>
          <w:b w:val="false"/>
          <w:i w:val="false"/>
          <w:color w:val="000000"/>
          <w:sz w:val="22"/>
        </w:rPr>
        <w:t>(iii) Overage (over 12 months old), resolved.</w:t>
      </w:r>
    </w:p>
    <w:p>
      <w:pPr>
        <w:pBdr>
          <w:top w:space="5"/>
          <w:left w:space="5"/>
          <w:bottom w:space="5"/>
          <w:right w:space="5"/>
        </w:pBdr>
        <w:spacing w:after="0"/>
        <w:ind w:left="945"/>
        <w:jc w:val="left"/>
      </w:pPr>
      <w:r>
        <w:rPr>
          <w:rFonts w:ascii="Times New Roman" w:hAnsi="Times New Roman"/>
          <w:b w:val="false"/>
          <w:i w:val="false"/>
          <w:color w:val="000000"/>
          <w:sz w:val="22"/>
        </w:rPr>
        <w:t>(iv) Resolution date slip from previous report.</w:t>
      </w:r>
    </w:p>
    <w:p>
      <w:pPr>
        <w:pBdr>
          <w:top w:space="5"/>
          <w:left w:space="5"/>
          <w:bottom w:space="5"/>
          <w:right w:space="5"/>
        </w:pBdr>
        <w:spacing w:after="0"/>
        <w:ind w:left="585"/>
        <w:jc w:val="left"/>
      </w:pPr>
      <w:r>
        <w:rPr>
          <w:rFonts w:ascii="Times New Roman" w:hAnsi="Times New Roman"/>
          <w:b w:val="false"/>
          <w:i w:val="false"/>
          <w:color w:val="000000"/>
          <w:sz w:val="22"/>
        </w:rPr>
        <w:t>(2) Each plan of action shall contain the following information:</w:t>
      </w:r>
    </w:p>
    <w:p>
      <w:pPr>
        <w:pBdr>
          <w:top w:space="5"/>
          <w:left w:space="5"/>
          <w:bottom w:space="5"/>
          <w:right w:space="5"/>
        </w:pBdr>
        <w:spacing w:after="0"/>
        <w:ind w:left="945"/>
        <w:jc w:val="left"/>
      </w:pPr>
      <w:r>
        <w:rPr>
          <w:rFonts w:ascii="Times New Roman" w:hAnsi="Times New Roman"/>
          <w:b w:val="false"/>
          <w:i w:val="false"/>
          <w:color w:val="000000"/>
          <w:sz w:val="22"/>
        </w:rPr>
        <w:t>(i) Audit report number.</w:t>
      </w:r>
    </w:p>
    <w:p>
      <w:pPr>
        <w:pBdr>
          <w:top w:space="5"/>
          <w:left w:space="5"/>
          <w:bottom w:space="5"/>
          <w:right w:space="5"/>
        </w:pBdr>
        <w:spacing w:after="0"/>
        <w:ind w:left="945"/>
        <w:jc w:val="left"/>
      </w:pPr>
      <w:r>
        <w:rPr>
          <w:rFonts w:ascii="Times New Roman" w:hAnsi="Times New Roman"/>
          <w:b w:val="false"/>
          <w:i w:val="false"/>
          <w:color w:val="000000"/>
          <w:sz w:val="22"/>
        </w:rPr>
        <w:t>(ii) Report date.</w:t>
      </w:r>
    </w:p>
    <w:p>
      <w:pPr>
        <w:pBdr>
          <w:top w:space="5"/>
          <w:left w:space="5"/>
          <w:bottom w:space="5"/>
          <w:right w:space="5"/>
        </w:pBdr>
        <w:spacing w:after="0"/>
        <w:ind w:left="945"/>
        <w:jc w:val="left"/>
      </w:pPr>
      <w:r>
        <w:rPr>
          <w:rFonts w:ascii="Times New Roman" w:hAnsi="Times New Roman"/>
          <w:b w:val="false"/>
          <w:i w:val="false"/>
          <w:color w:val="000000"/>
          <w:sz w:val="22"/>
        </w:rPr>
        <w:t>(iii) Contractor name.</w:t>
      </w:r>
    </w:p>
    <w:p>
      <w:pPr>
        <w:pBdr>
          <w:top w:space="5"/>
          <w:left w:space="5"/>
          <w:bottom w:space="5"/>
          <w:right w:space="5"/>
        </w:pBdr>
        <w:spacing w:after="0"/>
        <w:ind w:left="945"/>
        <w:jc w:val="left"/>
      </w:pPr>
      <w:r>
        <w:rPr>
          <w:rFonts w:ascii="Times New Roman" w:hAnsi="Times New Roman"/>
          <w:b w:val="false"/>
          <w:i w:val="false"/>
          <w:color w:val="000000"/>
          <w:sz w:val="22"/>
        </w:rPr>
        <w:t>(iv) Type of audit.</w:t>
      </w:r>
    </w:p>
    <w:p>
      <w:pPr>
        <w:pBdr>
          <w:top w:space="5"/>
          <w:left w:space="5"/>
          <w:bottom w:space="5"/>
          <w:right w:space="5"/>
        </w:pBdr>
        <w:spacing w:after="0"/>
        <w:ind w:left="945"/>
        <w:jc w:val="left"/>
      </w:pPr>
      <w:r>
        <w:rPr>
          <w:rFonts w:ascii="Times New Roman" w:hAnsi="Times New Roman"/>
          <w:b w:val="false"/>
          <w:i w:val="false"/>
          <w:color w:val="000000"/>
          <w:sz w:val="22"/>
        </w:rPr>
        <w:t>(v) Cost questioned or cost avoidance.</w:t>
      </w:r>
    </w:p>
    <w:p>
      <w:pPr>
        <w:pBdr>
          <w:top w:space="5"/>
          <w:left w:space="5"/>
          <w:bottom w:space="5"/>
          <w:right w:space="5"/>
        </w:pBdr>
        <w:spacing w:after="0"/>
        <w:ind w:left="945"/>
        <w:jc w:val="left"/>
      </w:pPr>
      <w:r>
        <w:rPr>
          <w:rFonts w:ascii="Times New Roman" w:hAnsi="Times New Roman"/>
          <w:b w:val="false"/>
          <w:i w:val="false"/>
          <w:color w:val="000000"/>
          <w:sz w:val="22"/>
        </w:rPr>
        <w:t>(vi) A narrative plan of action for resolution and disposition of the audit findings.</w:t>
      </w:r>
    </w:p>
    <w:p>
      <w:pPr>
        <w:pBdr>
          <w:top w:space="5"/>
          <w:left w:space="5"/>
          <w:bottom w:space="5"/>
          <w:right w:space="5"/>
        </w:pBdr>
        <w:spacing w:after="0"/>
        <w:ind w:left="945"/>
        <w:jc w:val="left"/>
      </w:pPr>
      <w:r>
        <w:rPr>
          <w:rFonts w:ascii="Times New Roman" w:hAnsi="Times New Roman"/>
          <w:b w:val="false"/>
          <w:i w:val="false"/>
          <w:color w:val="000000"/>
          <w:sz w:val="22"/>
        </w:rPr>
        <w:t>(vii) Target resolution date.</w:t>
      </w:r>
    </w:p>
    <w:p>
      <w:pPr>
        <w:pBdr>
          <w:top w:space="5"/>
          <w:left w:space="5"/>
          <w:bottom w:space="5"/>
          <w:right w:space="5"/>
        </w:pBdr>
        <w:spacing w:after="0"/>
        <w:ind w:left="945"/>
        <w:jc w:val="left"/>
      </w:pPr>
      <w:r>
        <w:rPr>
          <w:rFonts w:ascii="Times New Roman" w:hAnsi="Times New Roman"/>
          <w:b w:val="false"/>
          <w:i w:val="false"/>
          <w:color w:val="000000"/>
          <w:sz w:val="22"/>
        </w:rPr>
        <w:t>(viii) Target disposition date.</w:t>
      </w:r>
    </w:p>
    <w:p>
      <w:pPr>
        <w:pBdr>
          <w:top w:space="5"/>
          <w:left w:space="5"/>
          <w:bottom w:space="5"/>
          <w:right w:space="5"/>
        </w:pBdr>
        <w:spacing w:after="0"/>
        <w:ind w:left="945"/>
        <w:jc w:val="left"/>
      </w:pPr>
      <w:r>
        <w:rPr>
          <w:rFonts w:ascii="Times New Roman" w:hAnsi="Times New Roman"/>
          <w:b w:val="false"/>
          <w:i w:val="false"/>
          <w:color w:val="000000"/>
          <w:sz w:val="22"/>
        </w:rPr>
        <w:t>(ix) Contracting officer’s name.</w:t>
      </w:r>
    </w:p>
    <w:p>
      <w:pPr>
        <w:pBdr>
          <w:top w:space="5"/>
          <w:left w:space="5"/>
          <w:bottom w:space="5"/>
          <w:right w:space="5"/>
        </w:pBdr>
        <w:spacing w:after="0"/>
        <w:ind w:left="945"/>
        <w:jc w:val="left"/>
      </w:pPr>
      <w:r>
        <w:rPr>
          <w:rFonts w:ascii="Times New Roman" w:hAnsi="Times New Roman"/>
          <w:b w:val="false"/>
          <w:i w:val="false"/>
          <w:color w:val="000000"/>
          <w:sz w:val="22"/>
        </w:rPr>
        <w:t>(x) Contracting officer’s phone number.</w:t>
      </w:r>
    </w:p>
    <w:p>
      <w:pPr>
        <w:pBdr>
          <w:top w:space="5"/>
          <w:left w:space="5"/>
          <w:bottom w:space="5"/>
          <w:right w:space="5"/>
        </w:pBdr>
        <w:spacing w:after="0"/>
        <w:ind w:left="585"/>
        <w:jc w:val="left"/>
      </w:pPr>
      <w:r>
        <w:rPr>
          <w:rFonts w:ascii="Times New Roman" w:hAnsi="Times New Roman"/>
          <w:b w:val="false"/>
          <w:i w:val="false"/>
          <w:color w:val="000000"/>
          <w:sz w:val="22"/>
        </w:rPr>
        <w:t>(3) The Board’s report shall describe the action taken to resolve the audit and identify attendees and their role in the process, such as the contracting officer.</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