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**ID__AFARS_5142.1503__ID**</w:t>
      </w:r>
    </w:p>
    <w:p>
      <w:pPr>
        <w:pStyle w:val="Heading3"/>
        <w:spacing w:after="199"/>
        <w:ind w:left="120"/>
        <w:jc w:val="left"/>
      </w:pPr>
      <w:r>
        <w:rPr>
          <w:rFonts w:ascii="Times New Roman" w:hAnsi="Times New Roman"/>
          <w:color w:val="000000"/>
          <w:sz w:val="31"/>
        </w:rPr>
        <w:t>5142.1503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color w:val="000000"/>
          <w:sz w:val="22"/>
        </w:rPr>
        <w:t>1</w:t>
      </w:r>
      <w:r>
        <w:rPr>
          <w:rFonts w:ascii="Times New Roman" w:hAnsi="Times New Roman"/>
          <w:b w:val="false"/>
          <w:i w:val="false"/>
          <w:color w:val="000000"/>
          <w:sz w:val="22"/>
        </w:rPr>
        <w:t>) Contracting officer’s representatives (CORs) will assist the contracting officer with entering objective performance information in the Contractor Performance Assessment Reports System (CPARS) for each contract or order assigned. The contracting officer may assign the COR the role of assessing official representative in CPARS.</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Include the contracting officer in the assessment process prior to forwarding a report to the contractor for review.</w:t>
      </w:r>
    </w:p>
    <w:p>
      <w:pPr>
        <w:pBdr>
          <w:top w:space="5"/>
          <w:left w:space="5"/>
          <w:bottom w:space="5"/>
          <w:right w:space="5"/>
        </w:pBdr>
        <w:spacing w:after="0"/>
        <w:ind w:left="585"/>
        <w:jc w:val="left"/>
      </w:pPr>
      <w:r>
        <w:rPr>
          <w:rFonts w:ascii="Times New Roman" w:hAnsi="Times New Roman"/>
          <w:b w:val="false"/>
          <w:i w:val="false"/>
          <w:color w:val="000000"/>
          <w:sz w:val="22"/>
        </w:rPr>
        <w:t>(2) See 5142.1503-90(a) for a list of CPARS assessing officials (AOs) for contracts in different business sectors.</w:t>
      </w:r>
    </w:p>
    <w:p>
      <w:pPr>
        <w:pBdr>
          <w:top w:space="5"/>
          <w:left w:space="5"/>
          <w:bottom w:space="5"/>
          <w:right w:space="5"/>
        </w:pBdr>
        <w:spacing w:after="0"/>
        <w:ind w:left="225"/>
        <w:jc w:val="left"/>
      </w:pPr>
      <w:r>
        <w:rPr>
          <w:rFonts w:ascii="Times New Roman" w:hAnsi="Times New Roman"/>
          <w:b w:val="false"/>
          <w:i w:val="false"/>
          <w:color w:val="000000"/>
          <w:sz w:val="22"/>
        </w:rPr>
        <w:t>(b)(2)(vi) The AO shall consider the extent to which the contractor complied with Department of Defense policy for item unique identification; see DFARS 211.274-2 Policy for item unique identification, and AFARS 5111.274-2.</w:t>
      </w:r>
    </w:p>
    <w:p>
      <w:pPr>
        <w:pBdr>
          <w:top w:space="5"/>
          <w:left w:space="5"/>
          <w:bottom w:space="5"/>
          <w:right w:space="5"/>
        </w:pBdr>
        <w:spacing w:after="0"/>
        <w:ind w:left="225"/>
        <w:jc w:val="left"/>
      </w:pPr>
      <w:r>
        <w:rPr>
          <w:rFonts w:ascii="Times New Roman" w:hAnsi="Times New Roman"/>
          <w:b w:val="false"/>
          <w:i w:val="false"/>
          <w:color w:val="000000"/>
          <w:sz w:val="22"/>
        </w:rPr>
        <w:t>(b)(4) The AO shall support the rating assigned to an element or sub-element with narrative rationale. Narratives shall clearly convey the rationale behind the rating to the contractor, as well as to a Government source selection official who is not familiar with the instant contract. This is especially important for any rating above or below satisfactory. The AO should support narratives with quantifiable or verifiable documentation. While larger or more complex efforts warrant greater detail, narratives should be clear and concise.</w:t>
      </w:r>
    </w:p>
    <w:p>
      <w:pPr>
        <w:pBdr>
          <w:top w:space="5"/>
          <w:left w:space="5"/>
          <w:bottom w:space="5"/>
          <w:right w:space="5"/>
        </w:pBdr>
        <w:spacing w:after="0"/>
        <w:ind w:left="225"/>
        <w:jc w:val="left"/>
      </w:pPr>
      <w:r>
        <w:rPr>
          <w:rFonts w:ascii="Times New Roman" w:hAnsi="Times New Roman"/>
          <w:b w:val="false"/>
          <w:i w:val="false"/>
          <w:color w:val="000000"/>
          <w:sz w:val="22"/>
        </w:rPr>
        <w:t>(f) See Army Regulation 715-30, as revised, for maintenance of past performance information that cannot be maintained in an unclassified database.</w:t>
      </w:r>
    </w:p>
    <w:p>
      <w:pPr>
        <w:pBdr>
          <w:top w:space="5"/>
          <w:left w:space="5"/>
          <w:bottom w:space="5"/>
          <w:right w:space="5"/>
        </w:pBdr>
        <w:spacing w:after="0"/>
        <w:ind w:left="225"/>
        <w:jc w:val="left"/>
      </w:pPr>
      <w:r>
        <w:rPr>
          <w:rFonts w:ascii="Times New Roman" w:hAnsi="Times New Roman"/>
          <w:b w:val="false"/>
          <w:i w:val="false"/>
          <w:color w:val="000000"/>
          <w:sz w:val="22"/>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 CPARS registration formats are located at 5153.303-9 Initial registration and 5153.303-10 Access request.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