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**ID__AFARS_5146.503__ID**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5146.503</w:t>
      </w:r>
      <w:r>
        <w:rPr>
          <w:rFonts w:ascii="Times New Roman" w:hAnsi="Times New Roman"/>
          <w:color w:val="000000"/>
          <w:sz w:val="31"/>
        </w:rPr>
        <w:t xml:space="preserve"> Place of acceptance.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When contemplating destination acceptance in solicitations and contracts, contracting officers shall—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Verify the Department of Defense Activity Address Code (DoDAAC) of each receiving activity in the solicitation or contract (DoDAAC verification information is available via the Internet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https://www.transactionservices.dla.mil/daasinq/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Prior to assigning acceptance responsibility, ensure that there is a registered acceptor available in Wide Area Workflow (WAWF) for each destination acceptance point (WAWF acceptor information is available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https://wawf.eb.mil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under “Active DoDAACs and Roles”);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When no WAWF acceptor is available at destination, use source acceptance or “acceptance at other” in WAWF;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Not designate destination acceptance at a contractor location, but shall instead clearly designate a Government acceptance point within Section E of the contract schedule;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Clearly define the acceptance procedures in Section 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transactionservices.dla.mil/daasinq/" Type="http://schemas.openxmlformats.org/officeDocument/2006/relationships/hyperlink" Id="rId4"/>
    <Relationship TargetMode="External" Target="https://wawf.eb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