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**ID__AFARS_5148.102__ID**</w:t>
      </w:r>
    </w:p>
    <w:p>
      <w:pPr>
        <w:pStyle w:val="Heading3"/>
        <w:spacing w:after="199"/>
        <w:ind w:left="120"/>
        <w:jc w:val="left"/>
      </w:pPr>
      <w:r>
        <w:rPr>
          <w:rFonts w:ascii="Times New Roman" w:hAnsi="Times New Roman"/>
          <w:color w:val="000000"/>
          <w:sz w:val="31"/>
        </w:rPr>
        <w:t>5148.102</w:t>
      </w:r>
      <w:r>
        <w:rPr>
          <w:rFonts w:ascii="Times New Roman" w:hAnsi="Times New Roman"/>
          <w:color w:val="000000"/>
          <w:sz w:val="31"/>
        </w:rPr>
        <w:t xml:space="preserve"> Policies.</w:t>
      </w:r>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has authority to exempt individual contracts, or specific classes of contracts, from including value engineering provisions as prescribed by FAR 48.201 and 48.202.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Refer to the Department of the Army Pamphlet 70–3, 11 March 2014, paragraph 6-14, which is available via the Internet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https://armypubs.army.mil/epubs/DR_pubs/DR_a/pdf/web/p70_3.pdf</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armypubs.army.mil/epubs/DR_pubs/DR_a/pdf/web/p70_3.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