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**ID__AFARS_5150.1013__ID**</w:t>
      </w:r>
    </w:p>
    <w:p>
      <w:pPr>
        <w:pStyle w:val="Heading4"/>
        <w:spacing w:after="269"/>
        <w:ind w:left="120"/>
        <w:jc w:val="left"/>
      </w:pPr>
      <w:r>
        <w:rPr>
          <w:rFonts w:ascii="Times New Roman" w:hAnsi="Times New Roman"/>
          <w:i w:val="false"/>
          <w:color w:val="000000"/>
          <w:sz w:val="24"/>
        </w:rPr>
        <w:t>5150.101-3</w:t>
      </w:r>
      <w:r>
        <w:rPr>
          <w:rFonts w:ascii="Times New Roman" w:hAnsi="Times New Roman"/>
          <w:i w:val="false"/>
          <w:color w:val="000000"/>
          <w:sz w:val="24"/>
        </w:rPr>
        <w:t xml:space="preserve"> Records.</w:t>
      </w:r>
    </w:p>
    <w:p>
      <w:pPr>
        <w:pBdr>
          <w:top w:space="5"/>
          <w:left w:space="5"/>
          <w:bottom w:space="5"/>
          <w:right w:space="5"/>
        </w:pBdr>
        <w:spacing w:after="0"/>
        <w:ind w:left="585"/>
        <w:jc w:val="left"/>
      </w:pPr>
      <w:r>
        <w:rPr>
          <w:rFonts w:ascii="Times New Roman" w:hAnsi="Times New Roman"/>
          <w:b w:val="false"/>
          <w:i w:val="false"/>
          <w:color w:val="000000"/>
          <w:sz w:val="22"/>
        </w:rPr>
        <w:t>(1)(iii) See DFARS PGI 250.103. Unless otherwise specified, the contracting officer is responsible for maintaining all records under subpart 5150.1. The Office of the Deputy Assistant Secretary of the Army (Procurement) will maintain a record of all memorandums of decision executed at the Secretariat level.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