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**ID__AFARS_5153.303__ID**</w:t>
      </w:r>
    </w:p>
    <w:p>
      <w:pPr>
        <w:pStyle w:val="Heading3"/>
        <w:spacing w:after="199"/>
        <w:ind w:left="120"/>
        <w:jc w:val="left"/>
      </w:pPr>
      <w:r>
        <w:rPr>
          <w:rFonts w:ascii="Times New Roman" w:hAnsi="Times New Roman"/>
          <w:color w:val="000000"/>
          <w:sz w:val="31"/>
        </w:rPr>
        <w:t>5153.303</w:t>
      </w:r>
      <w:r>
        <w:rPr>
          <w:rFonts w:ascii="Times New Roman" w:hAnsi="Times New Roman"/>
          <w:color w:val="000000"/>
          <w:sz w:val="31"/>
        </w:rPr>
        <w:t xml:space="preserve"> Agency forms.</w:t>
      </w:r>
    </w:p>
    <w:p>
      <w:pPr>
        <w:pStyle w:val="Normal"/>
        <w:pBdr>
          <w:top w:space="5"/>
          <w:left w:space="5"/>
          <w:bottom w:space="5"/>
          <w:right w:space="5"/>
        </w:pBdr>
        <w:spacing w:after="0"/>
        <w:ind w:left="225"/>
        <w:jc w:val="left"/>
      </w:pPr>
      <w:r>
        <w:rPr>
          <w:rFonts w:ascii="Times New Roman" w:hAnsi="Times New Roman"/>
          <w:color w:val="000000"/>
        </w:rPr>
        <w:t>This subpart sets forth standard Army formats for specified actions. Contracting officers may tailor these formats where appropriate, and when they are not otherwise limited, to fit the specific acquisition or contracting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