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**ID__AFARS_5104.201__ID**</w:t>
      </w:r>
    </w:p>
    <w:p>
      <w:pPr>
        <w:pStyle w:val="Heading3"/>
        <w:spacing w:after="199"/>
        <w:ind w:left="120"/>
        <w:jc w:val="left"/>
      </w:pPr>
      <w:r>
        <w:rPr>
          <w:rFonts w:ascii="Times New Roman" w:hAnsi="Times New Roman"/>
          <w:color w:val="000000"/>
          <w:sz w:val="31"/>
        </w:rPr>
        <w:t>5104.201</w:t>
      </w:r>
      <w:r>
        <w:rPr>
          <w:rFonts w:ascii="Times New Roman" w:hAnsi="Times New Roman"/>
          <w:color w:val="000000"/>
          <w:sz w:val="31"/>
        </w:rPr>
        <w:t xml:space="preserve"> Procedures.</w:t>
      </w:r>
    </w:p>
    <w:p>
      <w:pPr>
        <w:pStyle w:val="Normal"/>
        <w:pBdr>
          <w:top w:space="5"/>
          <w:left w:space="5"/>
          <w:bottom w:space="5"/>
          <w:right w:space="5"/>
        </w:pBdr>
        <w:spacing w:after="0"/>
        <w:ind w:left="225"/>
        <w:jc w:val="left"/>
      </w:pPr>
      <w:r>
        <w:rPr>
          <w:rFonts w:ascii="Times New Roman" w:hAnsi="Times New Roman"/>
          <w:color w:val="000000"/>
        </w:rPr>
        <w:t>In addition to DFARS 204.201 requirements for bilateral contracts, contracting officers shall distribute a copy or reproduction of the contract form showing the contractor’s signature. The copy or reproduction shall be in the “portable document format” (.pdf) for distribution via electronic mail (email) or other electronic means.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