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**ID__AFARS_5153.30310__ID**</w:t>
      </w:r>
    </w:p>
    <w:p>
      <w:pPr>
        <w:pStyle w:val="Heading4"/>
        <w:spacing w:after="269"/>
        <w:ind w:left="120"/>
        <w:jc w:val="left"/>
      </w:pPr>
      <w:r>
        <w:rPr>
          <w:rFonts w:ascii="Times New Roman" w:hAnsi="Times New Roman"/>
          <w:i w:val="false"/>
          <w:color w:val="000000"/>
          <w:sz w:val="24"/>
        </w:rPr>
        <w:t>5153.303-10</w:t>
      </w:r>
      <w:r>
        <w:rPr>
          <w:rFonts w:ascii="Times New Roman" w:hAnsi="Times New Roman"/>
          <w:i w:val="false"/>
          <w:color w:val="000000"/>
          <w:sz w:val="24"/>
        </w:rPr>
        <w:t xml:space="preserve"> Contractor Performance Assessment Report System access request format.</w:t>
      </w:r>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w:t>
      </w:r>
      <w:r>
        <w:rPr>
          <w:rFonts w:ascii="Times New Roman" w:hAnsi="Times New Roman"/>
          <w:b/>
          <w:i w:val="false"/>
          <w:color w:val="000000"/>
          <w:sz w:val="22"/>
        </w:rPr>
        <w:t>For report completion and security measures, user(s) are responsible for notifying</w:t>
      </w:r>
      <w:r>
        <w:rPr>
          <w:rFonts w:ascii="Times New Roman" w:hAnsi="Times New Roman"/>
          <w:b/>
          <w:i w:val="false"/>
          <w:color w:val="000000"/>
          <w:sz w:val="22"/>
        </w:rPr>
        <w:t>the focal point for removal of person(s) no longer associated with the contract(s) below. A change in Assessing Official Representative or Assessing Official requires that person</w:t>
      </w:r>
      <w:r>
        <w:rPr>
          <w:rFonts w:ascii="Times New Roman" w:hAnsi="Times New Roman"/>
          <w:b/>
          <w:i w:val="false"/>
          <w:color w:val="000000"/>
          <w:sz w:val="22"/>
        </w:rPr>
        <w:t>to</w:t>
      </w:r>
      <w:r>
        <w:rPr>
          <w:rFonts w:ascii="Times New Roman" w:hAnsi="Times New Roman"/>
          <w:b/>
          <w:i w:val="false"/>
          <w:color w:val="000000"/>
          <w:sz w:val="22"/>
        </w:rPr>
        <w:t>start an Interim Assessment for continuity.</w:t>
      </w:r>
    </w:p>
    <w:p>
      <w:pPr>
        <w:pBdr>
          <w:top w:space="5"/>
          <w:left w:space="5"/>
          <w:bottom w:space="5"/>
          <w:right w:space="5"/>
        </w:pBdr>
        <w:spacing w:after="0"/>
        <w:ind w:left="225"/>
        <w:jc w:val="left"/>
      </w:pPr>
      <w:r>
        <w:rPr>
          <w:rFonts w:ascii="Times New Roman" w:hAnsi="Times New Roman"/>
          <w:b w:val="false"/>
          <w:i w:val="false"/>
          <w:color w:val="000000"/>
          <w:sz w:val="22"/>
        </w:rPr>
        <w:t>A. Enter Contract Numbers/Order Numbers: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i w:val="false"/>
          <w:color w:val="000000"/>
          <w:sz w:val="22"/>
        </w:rPr>
        <w:t>For</w:t>
      </w:r>
      <w:r>
        <w:rPr>
          <w:rFonts w:ascii="Times New Roman" w:hAnsi="Times New Roman"/>
          <w:b/>
          <w:i w:val="false"/>
          <w:color w:val="000000"/>
          <w:sz w:val="22"/>
        </w:rPr>
        <w:t>General Services Administration (</w:t>
      </w:r>
      <w:r>
        <w:rPr>
          <w:rFonts w:ascii="Times New Roman" w:hAnsi="Times New Roman"/>
          <w:b/>
          <w:i w:val="false"/>
          <w:color w:val="000000"/>
          <w:sz w:val="22"/>
        </w:rPr>
        <w:t>GSA</w:t>
      </w:r>
      <w:r>
        <w:rPr>
          <w:rFonts w:ascii="Times New Roman" w:hAnsi="Times New Roman"/>
          <w:b/>
          <w:i w:val="false"/>
          <w:color w:val="000000"/>
          <w:sz w:val="22"/>
        </w:rPr>
        <w:t>)</w:t>
      </w:r>
      <w:r>
        <w:rPr>
          <w:rFonts w:ascii="Times New Roman" w:hAnsi="Times New Roman"/>
          <w:b/>
          <w:i w:val="false"/>
          <w:color w:val="000000"/>
          <w:sz w:val="22"/>
        </w:rPr>
        <w:t>orders, you must include a GSA schedule number.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Enter Name of Assessing Official: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Enter Name(s) of Assessing Official Representative(s) (Optional):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Representative (AOR) may assist the Assessing Official by inputting ratings and narrative. The AOR may not sign the report. Examples of AORs include technical experts (i.e., engineering, logistics), Defense Contract Management Agency program integrators, quality and other team members. An AOR must be a government employee.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 Enter Name of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This individual, the Contractor’s Program Manager equivalent, will comment on the Government Assessing Official’s assessment. The contractor representative can input comments for the contracts listed above and view the completed report(s).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 Enter Name of Reviewing Official:</w:t>
      </w:r>
    </w:p>
    <w:p>
      <w:pPr>
        <w:pBdr>
          <w:top w:space="5"/>
          <w:left w:space="5"/>
          <w:bottom w:space="5"/>
          <w:right w:space="5"/>
        </w:pBdr>
        <w:spacing w:after="0"/>
        <w:ind w:left="225"/>
        <w:jc w:val="left"/>
      </w:pPr>
      <w:r>
        <w:rPr>
          <w:rFonts w:ascii="Times New Roman" w:hAnsi="Times New Roman"/>
          <w:b w:val="false"/>
          <w:i w:val="false"/>
          <w:color w:val="000000"/>
          <w:sz w:val="22"/>
        </w:rPr>
        <w:t>A Reviewing Official, generally a level above the Assessing Official, provides the check-and-balance whenever the Government Assessing Official and the Contractor Representative disagree on the assessment. The Reviewing Official can input comments for the contracts listed above. The Reviewing Official must be a U.S. Army employee in the Assessing Official's chain of command.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Individual Submitting This Request for Access:</w:t>
      </w:r>
    </w:p>
    <w:p>
      <w:pPr>
        <w:pBdr>
          <w:top w:space="5"/>
          <w:left w:space="5"/>
          <w:bottom w:space="5"/>
          <w:right w:space="5"/>
        </w:pBdr>
        <w:spacing w:after="0"/>
        <w:ind w:left="225"/>
        <w:jc w:val="left"/>
      </w:pPr>
      <w:r>
        <w:rPr>
          <w:rFonts w:ascii="Times New Roman" w:hAnsi="Times New Roman"/>
          <w:b w:val="false"/>
          <w:i w:val="false"/>
          <w:color w:val="000000"/>
          <w:sz w:val="22"/>
        </w:rPr>
        <w:t>Name:</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Phone:</w:t>
      </w:r>
    </w:p>
    <w:p>
      <w:pPr>
        <w:pBdr>
          <w:top w:space="5"/>
          <w:left w:space="5"/>
          <w:bottom w:space="5"/>
          <w:right w:space="5"/>
        </w:pBdr>
        <w:spacing w:after="0"/>
        <w:ind w:left="225"/>
        <w:jc w:val="left"/>
      </w:pPr>
      <w:r>
        <w:rPr>
          <w:rFonts w:ascii="Times New Roman" w:hAnsi="Times New Roman"/>
          <w:b w:val="false"/>
          <w:i w:val="false"/>
          <w:color w:val="000000"/>
          <w:sz w:val="22"/>
        </w:rPr>
        <w:t>Date: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