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**ID__AFARS_APPENDIX-AA_Chapter-1_1-1__ID**</w:t>
      </w:r>
    </w:p>
    <w:p>
      <w:pPr>
        <w:pStyle w:val="Heading3"/>
        <w:spacing w:after="199"/>
        <w:ind w:left="120"/>
        <w:jc w:val="left"/>
      </w:pPr>
      <w:r>
        <w:rPr>
          <w:rFonts w:ascii="Times New Roman" w:hAnsi="Times New Roman"/>
          <w:color w:val="000000"/>
          <w:sz w:val="36"/>
        </w:rPr>
        <w:t>1.1</w:t>
      </w:r>
      <w:r>
        <w:rPr>
          <w:rFonts w:ascii="Times New Roman" w:hAnsi="Times New Roman"/>
          <w:color w:val="000000"/>
          <w:sz w:val="36"/>
        </w:rPr>
        <w:t xml:space="preserve"> Purpose</w:t>
      </w:r>
    </w:p>
    <w:p>
      <w:pPr>
        <w:pBdr>
          <w:top w:space="5"/>
          <w:left w:space="5"/>
          <w:bottom w:space="5"/>
          <w:right w:space="5"/>
        </w:pBdr>
        <w:spacing w:after="0"/>
        <w:ind w:left="225"/>
        <w:jc w:val="left"/>
      </w:pPr>
      <w:r>
        <w:rPr>
          <w:rFonts w:ascii="Times New Roman" w:hAnsi="Times New Roman"/>
          <w:b w:val="false"/>
          <w:i w:val="false"/>
          <w:color w:val="000000"/>
          <w:sz w:val="22"/>
        </w:rPr>
        <w:t>The Army Source Selection Supplement (AS3) implements and supplements the mandatory Department of Defense (DoD) Source Selection Procedures to establish consistent policies and procedures for Army source selections. The Federal Acquisition Regulation (FAR) and its supplements (Defense FAR Supplement (DFARS) and Army FAR Supplement (AFARS)) prescribe the general policies governing these acquisitions.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