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4.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**ID__AFARS_APPENDIX-AA_Chapter-1_1-4__ID**</w:t>
      </w:r>
    </w:p>
    <w:p>
      <w:pPr>
        <w:pStyle w:val="Heading3"/>
        <w:spacing w:after="199"/>
        <w:ind w:left="120"/>
        <w:jc w:val="left"/>
      </w:pPr>
      <w:r>
        <w:rPr>
          <w:rFonts w:ascii="Times New Roman" w:hAnsi="Times New Roman"/>
          <w:color w:val="000000"/>
          <w:sz w:val="36"/>
        </w:rPr>
        <w:t>1.4</w:t>
      </w:r>
      <w:r>
        <w:rPr>
          <w:rFonts w:ascii="Times New Roman" w:hAnsi="Times New Roman"/>
          <w:color w:val="000000"/>
          <w:sz w:val="36"/>
        </w:rPr>
        <w:t xml:space="preserve"> Source Selection Team Roles &amp; Responsibilities</w:t>
      </w:r>
    </w:p>
    <w:p>
      <w:pPr>
        <w:pBdr>
          <w:top w:space="5"/>
          <w:left w:space="5"/>
          <w:bottom w:space="5"/>
          <w:right w:space="5"/>
        </w:pBdr>
        <w:spacing w:after="0"/>
        <w:ind w:left="225"/>
        <w:jc w:val="left"/>
      </w:pPr>
      <w:r>
        <w:rPr>
          <w:rFonts w:ascii="Times New Roman" w:hAnsi="Times New Roman"/>
          <w:b w:val="false"/>
          <w:i w:val="false"/>
          <w:color w:val="000000"/>
          <w:sz w:val="22"/>
        </w:rPr>
        <w:t>Source selection is a multi-disciplined team effort. The Source Selection Team (SST) should include representatives from appropriate functional areas such as contracting, small business, technical, logistics, cost/price, legal, and program management. User organizations should also be represented.</w:t>
      </w:r>
    </w:p>
    <w:p>
      <w:pPr>
        <w:pBdr>
          <w:top w:space="5"/>
          <w:left w:space="5"/>
          <w:bottom w:space="5"/>
          <w:right w:space="5"/>
        </w:pBdr>
        <w:spacing w:after="0"/>
        <w:ind w:left="225"/>
        <w:jc w:val="left"/>
      </w:pPr>
      <w:r>
        <w:rPr>
          <w:rFonts w:ascii="Times New Roman" w:hAnsi="Times New Roman"/>
          <w:b w:val="false"/>
          <w:i w:val="false"/>
          <w:color w:val="000000"/>
          <w:sz w:val="22"/>
        </w:rPr>
        <w:t>The success of any source selection is determined to a large degree by the personnel involved. Likewise, the Source Selection Authority (SSA), with assistance from the SCO, will ensure the appointment of people with the requisite skills, expertise, and experience to ensure the success of the source selection. This includes those members appointed to the Source Selection Advisory Council (SSAC).</w:t>
      </w:r>
    </w:p>
    <w:p>
      <w:pPr>
        <w:pBdr>
          <w:top w:space="5"/>
          <w:left w:space="5"/>
          <w:bottom w:space="5"/>
          <w:right w:space="5"/>
        </w:pBdr>
        <w:spacing w:after="0"/>
        <w:ind w:left="225"/>
        <w:jc w:val="left"/>
      </w:pPr>
      <w:r>
        <w:rPr>
          <w:rFonts w:ascii="Times New Roman" w:hAnsi="Times New Roman"/>
          <w:b w:val="false"/>
          <w:i w:val="false"/>
          <w:color w:val="000000"/>
          <w:sz w:val="22"/>
        </w:rPr>
        <w:t>The SCO is responsible for determining the capability of the organization to effectively resource the SST as set forth in the hierarchy of source selection expertise below (see Figure 1-1). In the event the SCO determines the required expertise is not obtainable, the HCA will be consulted. If the HCA concurs the resources are still unavailable, the DASA(P) will be notified and will assist in providing resources from other contracting activities, or assign the procurement to another contracting activity for execution.</w:t>
      </w:r>
    </w:p>
    <w:p>
      <w:pPr>
        <w:pBdr>
          <w:top w:space="5"/>
          <w:left w:space="5"/>
          <w:bottom w:space="5"/>
          <w:right w:space="5"/>
        </w:pBdr>
        <w:spacing w:after="0"/>
        <w:ind w:left="225"/>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3574"/>
      </w:tblGrid>
      <w:tr>
        <w:trPr>
          <w:trHeight w:val="5490" w:hRule="atLeast"/>
        </w:trPr>
        <w:tc>
          <w:tcPr>
            <w:tcW w:w="135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1"/>
              </w:numPr>
              <w:spacing w:after="0"/>
              <w:ind w:left="845" w:hanging="360"/>
              <w:jc w:val="left"/>
            </w:pPr>
            <w:r>
              <w:rPr>
                <w:rFonts w:ascii="Times New Roman" w:hAnsi="Times New Roman"/>
                <w:b w:val="false"/>
                <w:i w:val="false"/>
                <w:color w:val="000000"/>
                <w:sz w:val="22"/>
              </w:rPr>
              <w:t>Look within own organization for expertise.</w:t>
            </w:r>
          </w:p>
          <w:p>
            <w:pPr>
              <w:numPr>
                <w:ilvl w:val="0"/>
                <w:numId w:val="1"/>
              </w:numPr>
              <w:spacing w:after="0"/>
              <w:ind w:left="845" w:hanging="360"/>
              <w:jc w:val="left"/>
            </w:pPr>
            <w:r>
              <w:rPr>
                <w:rFonts w:ascii="Times New Roman" w:hAnsi="Times New Roman"/>
                <w:b w:val="false"/>
                <w:i w:val="false"/>
                <w:color w:val="000000"/>
                <w:sz w:val="22"/>
              </w:rPr>
              <w:t>Identify and appoint Government personnel outside own organization with the requisite expertise.</w:t>
            </w:r>
          </w:p>
          <w:p>
            <w:pPr>
              <w:numPr>
                <w:ilvl w:val="0"/>
                <w:numId w:val="1"/>
              </w:numPr>
              <w:spacing w:after="0"/>
              <w:ind w:left="845" w:hanging="360"/>
              <w:jc w:val="left"/>
            </w:pPr>
            <w:r>
              <w:rPr>
                <w:rFonts w:ascii="Times New Roman" w:hAnsi="Times New Roman"/>
                <w:b w:val="false"/>
                <w:i w:val="false"/>
                <w:color w:val="000000"/>
                <w:sz w:val="22"/>
              </w:rPr>
              <w:t>Identify junior personnel to grow expertise and experience in source selection by allowing them to participate on non-technical factors.</w:t>
            </w:r>
          </w:p>
          <w:p>
            <w:pPr>
              <w:numPr>
                <w:ilvl w:val="0"/>
                <w:numId w:val="1"/>
              </w:numPr>
              <w:spacing w:after="0"/>
              <w:ind w:left="845" w:hanging="360"/>
              <w:jc w:val="left"/>
            </w:pPr>
            <w:r>
              <w:rPr>
                <w:rFonts w:ascii="Times New Roman" w:hAnsi="Times New Roman"/>
                <w:b w:val="false"/>
                <w:i w:val="false"/>
                <w:color w:val="000000"/>
                <w:sz w:val="22"/>
              </w:rPr>
              <w:t>If expertise does not exist, then move acquisition elsewhere.</w:t>
            </w:r>
          </w:p>
          <w:p>
            <w:pPr>
              <w:numPr>
                <w:ilvl w:val="0"/>
                <w:numId w:val="1"/>
              </w:numPr>
              <w:spacing w:after="0"/>
              <w:ind w:left="845" w:hanging="360"/>
              <w:jc w:val="left"/>
            </w:pPr>
            <w:r>
              <w:rPr>
                <w:rFonts w:ascii="Times New Roman" w:hAnsi="Times New Roman"/>
                <w:b w:val="false"/>
                <w:i w:val="false"/>
                <w:color w:val="000000"/>
                <w:sz w:val="22"/>
              </w:rPr>
              <w:t>Consider establishing and/or hiring, on an ad hoc basis, qualified retired annuitants to supplement source selection teams.</w:t>
            </w:r>
          </w:p>
          <w:p>
            <w:pPr>
              <w:numPr>
                <w:ilvl w:val="0"/>
                <w:numId w:val="1"/>
              </w:numPr>
              <w:spacing w:after="0"/>
              <w:ind w:left="845" w:hanging="360"/>
              <w:jc w:val="left"/>
            </w:pPr>
            <w:r>
              <w:rPr>
                <w:rFonts w:ascii="Times New Roman" w:hAnsi="Times New Roman"/>
                <w:b w:val="false"/>
                <w:i w:val="false"/>
                <w:color w:val="000000"/>
                <w:sz w:val="22"/>
              </w:rPr>
              <w:t>Establish an advance pool of experts to supplement on an ad hoc and rotational basis.</w:t>
            </w:r>
          </w:p>
          <w:p>
            <w:pPr>
              <w:numPr>
                <w:ilvl w:val="0"/>
                <w:numId w:val="1"/>
              </w:numPr>
              <w:spacing w:after="0"/>
              <w:ind w:left="845" w:hanging="360"/>
              <w:jc w:val="left"/>
            </w:pPr>
            <w:r>
              <w:rPr>
                <w:rFonts w:ascii="Times New Roman" w:hAnsi="Times New Roman"/>
                <w:b w:val="false"/>
                <w:i w:val="false"/>
                <w:color w:val="000000"/>
                <w:sz w:val="22"/>
              </w:rPr>
              <w:t>In accordance with FAR Subparts 7.5 and 9.5, hire contractor experts to augment the Source Selection Evaluation Board (SSEB) ensuring there is no organizational conflict of interest or inclusion of inherently governmental functions.</w:t>
            </w:r>
          </w:p>
        </w:tc>
      </w:tr>
    </w:tbl>
    <w:p>
      <w:pPr>
        <w:pBdr>
          <w:top w:space="5"/>
          <w:left w:space="5"/>
          <w:bottom w:space="5"/>
          <w:right w:space="5"/>
        </w:pBdr>
        <w:spacing w:after="0"/>
        <w:ind w:left="225"/>
        <w:jc w:val="center"/>
      </w:pPr>
      <w:r>
        <w:rPr>
          <w:rFonts w:ascii="Times New Roman" w:hAnsi="Times New Roman"/>
          <w:b w:val="false"/>
          <w:i w:val="false"/>
          <w:color w:val="000000"/>
          <w:sz w:val="22"/>
        </w:rPr>
        <w:t>Figure 1-1: Hierarchy of Source Selection Expertise</w:t>
      </w:r>
    </w:p>
    <w:p>
      <w:pPr>
        <w:pBdr>
          <w:top w:space="5"/>
          <w:left w:space="5"/>
          <w:bottom w:space="5"/>
          <w:right w:space="5"/>
        </w:pBdr>
        <w:spacing w:after="0"/>
        <w:ind w:left="225"/>
        <w:jc w:val="left"/>
      </w:pPr>
      <w:r>
        <w:rPr>
          <w:rFonts w:ascii="Times New Roman" w:hAnsi="Times New Roman"/>
          <w:b w:val="false"/>
          <w:i w:val="false"/>
          <w:color w:val="000000"/>
          <w:sz w:val="22"/>
        </w:rPr>
        <w:t>The size and composition of the SST will vary depending upon the requirements of each acquisition. For example, major hardware acquisitions frequently involve requirements organizations from across the Army (or from other services on joint-service programs). In such cases, and when forming the SST, SSEB Factor/Subfactor teams should include evaluator representation from each major requirements organization. These evaluators should be assigned to the evaluation criteria associated with their specific area of requirements interest. Inclusion of technical evaluators who are subject matter experts on the requirement(s) being evaluated is essential to a successful evaluation process and fair/accurate assessment of the proposals, and absolutely critical where joint-service and/or multiple functional requirements are involved.</w:t>
      </w:r>
    </w:p>
    <w:p>
      <w:pPr>
        <w:pBdr>
          <w:top w:space="5"/>
          <w:left w:space="5"/>
          <w:bottom w:space="5"/>
          <w:right w:space="5"/>
        </w:pBdr>
        <w:spacing w:after="0"/>
        <w:ind w:left="225"/>
        <w:jc w:val="left"/>
      </w:pPr>
      <w:r>
        <w:rPr>
          <w:rFonts w:ascii="Times New Roman" w:hAnsi="Times New Roman"/>
          <w:b w:val="false"/>
          <w:i w:val="false"/>
          <w:color w:val="000000"/>
          <w:sz w:val="22"/>
        </w:rPr>
        <w:t>Whether the team is large or small, it should be structured to ensure teamwork, unity of purpose, and appropriate open communication among the team members throughout the process. This will facilitate a comprehensive evaluation and selection of the best value proposal.</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color w:val="000000"/>
          <w:sz w:val="22"/>
        </w:rPr>
        <w:t>Key Components of the SST</w:t>
      </w:r>
    </w:p>
    <w:p>
      <w:pPr>
        <w:pBdr>
          <w:top w:space="5"/>
          <w:left w:space="5"/>
          <w:bottom w:space="5"/>
          <w:right w:space="5"/>
        </w:pBdr>
        <w:spacing w:after="0"/>
        <w:ind w:left="225"/>
        <w:jc w:val="left"/>
      </w:pPr>
      <w:r>
        <w:rPr>
          <w:rFonts w:ascii="Times New Roman" w:hAnsi="Times New Roman"/>
          <w:b w:val="false"/>
          <w:i w:val="false"/>
          <w:color w:val="000000"/>
          <w:sz w:val="22"/>
        </w:rPr>
        <w:t>For source selections with a total estimated value of $100M or more, the SST shall consist of the SSA, a SSAC, and an SSEB. Each of these SST entities has distinct and separate functions (See Figure 1-2).</w:t>
      </w:r>
    </w:p>
    <w:p>
      <w:pPr>
        <w:pBdr>
          <w:top w:space="5"/>
          <w:left w:space="5"/>
          <w:bottom w:space="5"/>
          <w:right w:space="5"/>
        </w:pBdr>
        <w:spacing w:after="0"/>
        <w:ind w:left="225"/>
        <w:jc w:val="right"/>
      </w:pPr>
      <w:r>
        <w:drawing>
          <wp:inline distT="0" distB="0" distL="0" distR="0">
            <wp:extent cx="5210175" cy="368617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5210175" cy="3686175"/>
                    </a:xfrm>
                    <a:prstGeom prst="rect">
                      <a:avLst/>
                    </a:prstGeom>
                  </pic:spPr>
                </pic:pic>
              </a:graphicData>
            </a:graphic>
          </wp:inline>
        </w:drawing>
      </w:r>
    </w:p>
    <w:p>
      <w:pPr>
        <w:pBdr>
          <w:top w:space="5"/>
          <w:left w:space="5"/>
          <w:bottom w:space="5"/>
          <w:right w:space="5"/>
        </w:pBdr>
        <w:spacing w:after="0"/>
        <w:ind w:left="225"/>
        <w:jc w:val="right"/>
      </w:pPr>
      <w:r>
        <w:rPr>
          <w:rFonts w:ascii="Times New Roman" w:hAnsi="Times New Roman"/>
          <w:b w:val="false"/>
          <w:i w:val="false"/>
          <w:color w:val="000000"/>
          <w:sz w:val="22"/>
        </w:rPr>
        <w:t>Figure 1-2: SST Responsibilities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The SSEB is usually comprised of multiple groups of evaluators who are responsible for evaluating specific areas of the proposal against the RFP requirements. Additionally, legal counsel, small business advisors, cost/price, and technical experts may also serve as SST advisors. The precise structure of the SSEB is a matter within the SSA’s discretion.</w:t>
      </w:r>
    </w:p>
    <w:p>
      <w:pPr>
        <w:pBdr>
          <w:top w:space="5"/>
          <w:left w:space="5"/>
          <w:bottom w:space="5"/>
          <w:right w:space="5"/>
        </w:pBdr>
        <w:spacing w:after="0"/>
        <w:ind w:left="225"/>
        <w:jc w:val="left"/>
      </w:pPr>
      <w:r>
        <w:rPr>
          <w:rFonts w:ascii="Times New Roman" w:hAnsi="Times New Roman"/>
          <w:b w:val="false"/>
          <w:i w:val="false"/>
          <w:color w:val="000000"/>
          <w:sz w:val="22"/>
        </w:rPr>
        <w:t>The information below supplements the Roles and Responsibilities found in the DoD Source Selection Procedures (see paragraph 1.4).</w:t>
      </w:r>
    </w:p>
    <w:p>
      <w:pPr>
        <w:pBdr>
          <w:top w:space="5"/>
          <w:left w:space="5"/>
          <w:bottom w:space="5"/>
          <w:right w:space="5"/>
        </w:pBdr>
        <w:spacing w:after="0"/>
        <w:ind w:left="225"/>
        <w:jc w:val="left"/>
      </w:pPr>
      <w:r>
        <w:rPr>
          <w:rFonts w:ascii="Times New Roman" w:hAnsi="Times New Roman"/>
          <w:b/>
          <w:i/>
          <w:color w:val="000000"/>
          <w:sz w:val="22"/>
        </w:rPr>
        <w:t>The SSA.</w:t>
      </w:r>
    </w:p>
    <w:p>
      <w:pPr>
        <w:numPr>
          <w:ilvl w:val="0"/>
          <w:numId w:val="2"/>
        </w:numPr>
        <w:spacing w:after="0"/>
        <w:jc w:val="left"/>
      </w:pPr>
      <w:r>
        <w:rPr>
          <w:rFonts w:ascii="Times New Roman" w:hAnsi="Times New Roman"/>
          <w:b w:val="false"/>
          <w:i/>
          <w:color w:val="000000"/>
          <w:sz w:val="22"/>
        </w:rPr>
        <w:t>Appointment.</w:t>
      </w:r>
      <w:r>
        <w:rPr>
          <w:rFonts w:ascii="Times New Roman" w:hAnsi="Times New Roman"/>
          <w:b w:val="false"/>
          <w:i w:val="false"/>
          <w:color w:val="000000"/>
          <w:sz w:val="22"/>
        </w:rPr>
        <w:t xml:space="preserve"> The AFARS 5115.303 provides the policy on SSA appointments.</w:t>
      </w:r>
    </w:p>
    <w:p>
      <w:pPr>
        <w:numPr>
          <w:ilvl w:val="1"/>
          <w:numId w:val="2"/>
        </w:numPr>
        <w:spacing w:after="0"/>
        <w:jc w:val="left"/>
      </w:pPr>
      <w:r>
        <w:rPr>
          <w:rFonts w:ascii="Times New Roman" w:hAnsi="Times New Roman"/>
          <w:b w:val="false"/>
          <w:i w:val="false"/>
          <w:color w:val="000000"/>
          <w:sz w:val="22"/>
        </w:rPr>
        <w:t>All appointed SSAs are considered procurement officials and are subject to the associated statutory / regulatory rules.</w:t>
      </w:r>
    </w:p>
    <w:p>
      <w:pPr>
        <w:numPr>
          <w:ilvl w:val="1"/>
          <w:numId w:val="2"/>
        </w:numPr>
        <w:spacing w:after="0"/>
        <w:jc w:val="left"/>
      </w:pPr>
      <w:r>
        <w:rPr>
          <w:rFonts w:ascii="Times New Roman" w:hAnsi="Times New Roman"/>
          <w:b w:val="false"/>
          <w:i w:val="false"/>
          <w:color w:val="000000"/>
          <w:sz w:val="22"/>
        </w:rPr>
        <w:t>Once appointed, the SSA cannot further delegate their SSA authorities.</w:t>
      </w:r>
    </w:p>
    <w:p>
      <w:pPr>
        <w:numPr>
          <w:ilvl w:val="1"/>
          <w:numId w:val="2"/>
        </w:numPr>
        <w:spacing w:after="0"/>
        <w:jc w:val="left"/>
      </w:pPr>
      <w:r>
        <w:rPr>
          <w:rFonts w:ascii="Times New Roman" w:hAnsi="Times New Roman"/>
          <w:b/>
          <w:i/>
          <w:color w:val="000000"/>
          <w:sz w:val="22"/>
        </w:rPr>
        <w:t>Note:</w:t>
      </w:r>
      <w:r>
        <w:rPr>
          <w:rFonts w:ascii="Times New Roman" w:hAnsi="Times New Roman"/>
          <w:b w:val="false"/>
          <w:i w:val="false"/>
          <w:color w:val="000000"/>
          <w:sz w:val="22"/>
        </w:rPr>
        <w:t xml:space="preserve"> The identity of the SSA shall be considered procurement sensitive and shall not be disclosed to anyone who has not signed a non-disclosure agreement for that RFP / acquisition.</w:t>
      </w:r>
    </w:p>
    <w:p>
      <w:pPr>
        <w:numPr>
          <w:ilvl w:val="0"/>
          <w:numId w:val="2"/>
        </w:numPr>
        <w:spacing w:after="0"/>
        <w:jc w:val="left"/>
      </w:pPr>
      <w:r>
        <w:rPr>
          <w:rFonts w:ascii="Times New Roman" w:hAnsi="Times New Roman"/>
          <w:b w:val="false"/>
          <w:i w:val="false"/>
          <w:color w:val="000000"/>
          <w:sz w:val="22"/>
        </w:rPr>
        <w:t>Ensure the Source Selection Plan (SSP) and evaluation criteria are consistent with the requirements of the solicitation and applicable regulations.</w:t>
      </w:r>
    </w:p>
    <w:p>
      <w:pPr>
        <w:pBdr>
          <w:top w:space="5"/>
          <w:left w:space="5"/>
          <w:bottom w:space="5"/>
          <w:right w:space="5"/>
        </w:pBdr>
        <w:spacing w:after="0"/>
        <w:ind w:left="225"/>
        <w:jc w:val="left"/>
      </w:pPr>
      <w:r>
        <w:rPr>
          <w:rFonts w:ascii="Times New Roman" w:hAnsi="Times New Roman"/>
          <w:b/>
          <w:i/>
          <w:color w:val="000000"/>
          <w:sz w:val="22"/>
        </w:rPr>
        <w:t>The Procuring Contracting Officer (PCO).</w:t>
      </w:r>
    </w:p>
    <w:p>
      <w:pPr>
        <w:numPr>
          <w:ilvl w:val="0"/>
          <w:numId w:val="3"/>
        </w:numPr>
        <w:spacing w:after="0"/>
        <w:jc w:val="left"/>
      </w:pPr>
      <w:r>
        <w:rPr>
          <w:rFonts w:ascii="Times New Roman" w:hAnsi="Times New Roman"/>
          <w:b w:val="false"/>
          <w:i w:val="false"/>
          <w:color w:val="000000"/>
          <w:sz w:val="22"/>
        </w:rPr>
        <w:t>No Army text.</w:t>
      </w:r>
    </w:p>
    <w:p>
      <w:pPr>
        <w:pBdr>
          <w:top w:space="5"/>
          <w:left w:space="5"/>
          <w:bottom w:space="5"/>
          <w:right w:space="5"/>
        </w:pBdr>
        <w:spacing w:after="0"/>
        <w:ind w:left="225"/>
        <w:jc w:val="left"/>
      </w:pPr>
      <w:r>
        <w:rPr>
          <w:rFonts w:ascii="Times New Roman" w:hAnsi="Times New Roman"/>
          <w:b/>
          <w:i/>
          <w:color w:val="000000"/>
          <w:sz w:val="22"/>
        </w:rPr>
        <w:t>The SSAC.</w:t>
      </w:r>
    </w:p>
    <w:p>
      <w:pPr>
        <w:numPr>
          <w:ilvl w:val="0"/>
          <w:numId w:val="4"/>
        </w:numPr>
        <w:spacing w:after="0"/>
        <w:jc w:val="left"/>
      </w:pPr>
      <w:r>
        <w:rPr>
          <w:rFonts w:ascii="Times New Roman" w:hAnsi="Times New Roman"/>
          <w:b w:val="false"/>
          <w:i w:val="false"/>
          <w:color w:val="000000"/>
          <w:sz w:val="22"/>
        </w:rPr>
        <w:t>The SSAC will consist of senior Government personnel, and may include representation from the cognizant contracting office and legal office.</w:t>
      </w:r>
    </w:p>
    <w:p>
      <w:pPr>
        <w:numPr>
          <w:ilvl w:val="0"/>
          <w:numId w:val="4"/>
        </w:numPr>
        <w:spacing w:after="0"/>
        <w:jc w:val="left"/>
      </w:pPr>
      <w:r>
        <w:rPr>
          <w:rFonts w:ascii="Times New Roman" w:hAnsi="Times New Roman"/>
          <w:b w:val="false"/>
          <w:i w:val="false"/>
          <w:color w:val="000000"/>
          <w:sz w:val="22"/>
        </w:rPr>
        <w:t>For Acquisition Category I/II Source Selections involving requirements organizations from across the Army (or from other services on joint-service programs), the SSAC must include representation from all significant requirements organizations. The SSAC representatives must be at an organization / grade level commensurate with the other members of the SSAC, usually military 0-6/GS-15 or higher.</w:t>
      </w:r>
    </w:p>
    <w:p>
      <w:pPr>
        <w:pBdr>
          <w:top w:space="5"/>
          <w:left w:space="5"/>
          <w:bottom w:space="5"/>
          <w:right w:space="5"/>
        </w:pBdr>
        <w:spacing w:after="0"/>
        <w:ind w:left="225"/>
        <w:jc w:val="left"/>
      </w:pPr>
      <w:r>
        <w:rPr>
          <w:rFonts w:ascii="Times New Roman" w:hAnsi="Times New Roman"/>
          <w:b/>
          <w:i/>
          <w:color w:val="000000"/>
          <w:sz w:val="22"/>
        </w:rPr>
        <w:t>The SSEB.</w:t>
      </w:r>
    </w:p>
    <w:p>
      <w:pPr>
        <w:numPr>
          <w:ilvl w:val="0"/>
          <w:numId w:val="5"/>
        </w:numPr>
        <w:spacing w:after="0"/>
        <w:jc w:val="left"/>
      </w:pPr>
      <w:r>
        <w:rPr>
          <w:rFonts w:ascii="Times New Roman" w:hAnsi="Times New Roman"/>
          <w:b/>
          <w:i/>
          <w:color w:val="000000"/>
          <w:sz w:val="22"/>
        </w:rPr>
        <w:t>The SSEB Chairperson.</w:t>
      </w:r>
    </w:p>
    <w:p>
      <w:pPr>
        <w:numPr>
          <w:ilvl w:val="1"/>
          <w:numId w:val="5"/>
        </w:numPr>
        <w:spacing w:after="0"/>
        <w:jc w:val="left"/>
      </w:pPr>
      <w:r>
        <w:rPr>
          <w:rFonts w:ascii="Times New Roman" w:hAnsi="Times New Roman"/>
          <w:b w:val="false"/>
          <w:i w:val="false"/>
          <w:color w:val="000000"/>
          <w:sz w:val="22"/>
        </w:rPr>
        <w:t>Ensure the SSEB members understand the evaluation criteria and establish a uniform approach to the evaluation and rating effort. Seek to build consensus among the SSEB members.</w:t>
      </w:r>
    </w:p>
    <w:p>
      <w:pPr>
        <w:numPr>
          <w:ilvl w:val="1"/>
          <w:numId w:val="5"/>
        </w:numPr>
        <w:spacing w:after="0"/>
        <w:jc w:val="left"/>
      </w:pPr>
      <w:r>
        <w:rPr>
          <w:rFonts w:ascii="Times New Roman" w:hAnsi="Times New Roman"/>
          <w:b w:val="false"/>
          <w:i w:val="false"/>
          <w:color w:val="000000"/>
          <w:sz w:val="22"/>
        </w:rPr>
        <w:t>Isolate policy issues and major questions requiring decision by the SSA.</w:t>
      </w:r>
    </w:p>
    <w:p>
      <w:pPr>
        <w:numPr>
          <w:ilvl w:val="1"/>
          <w:numId w:val="5"/>
        </w:numPr>
        <w:spacing w:after="0"/>
        <w:jc w:val="left"/>
      </w:pPr>
      <w:r>
        <w:rPr>
          <w:rFonts w:ascii="Times New Roman" w:hAnsi="Times New Roman"/>
          <w:b w:val="false"/>
          <w:i w:val="false"/>
          <w:color w:val="000000"/>
          <w:sz w:val="22"/>
        </w:rPr>
        <w:t xml:space="preserve">Relieve and replace SSEB members from assignment </w:t>
      </w:r>
      <w:r>
        <w:rPr>
          <w:rFonts w:ascii="Times New Roman" w:hAnsi="Times New Roman"/>
          <w:b/>
          <w:i/>
          <w:color w:val="000000"/>
          <w:sz w:val="22"/>
          <w:u w:val="single"/>
        </w:rPr>
        <w:t>only</w:t>
      </w:r>
      <w:r>
        <w:rPr>
          <w:rFonts w:ascii="Times New Roman" w:hAnsi="Times New Roman"/>
          <w:b w:val="false"/>
          <w:i w:val="false"/>
          <w:color w:val="000000"/>
          <w:sz w:val="22"/>
        </w:rPr>
        <w:t xml:space="preserve"> in the event of a demonstrated emergency or other appropriate cause.</w:t>
      </w:r>
    </w:p>
    <w:p>
      <w:pPr>
        <w:numPr>
          <w:ilvl w:val="1"/>
          <w:numId w:val="5"/>
        </w:numPr>
        <w:spacing w:after="0"/>
        <w:jc w:val="left"/>
      </w:pPr>
      <w:r>
        <w:rPr>
          <w:rFonts w:ascii="Times New Roman" w:hAnsi="Times New Roman"/>
          <w:b w:val="false"/>
          <w:i w:val="false"/>
          <w:color w:val="000000"/>
          <w:sz w:val="22"/>
        </w:rPr>
        <w:t>Arrange for the SSEB members to work compensatory time, when necessary, authorized, and approved.</w:t>
      </w:r>
    </w:p>
    <w:p>
      <w:pPr>
        <w:numPr>
          <w:ilvl w:val="1"/>
          <w:numId w:val="5"/>
        </w:numPr>
        <w:spacing w:after="0"/>
        <w:jc w:val="left"/>
      </w:pPr>
      <w:r>
        <w:rPr>
          <w:rFonts w:ascii="Times New Roman" w:hAnsi="Times New Roman"/>
          <w:b w:val="false"/>
          <w:i w:val="false"/>
          <w:color w:val="000000"/>
          <w:sz w:val="22"/>
        </w:rPr>
        <w:t>Arrange for the needed administrative staff at the evaluation work site.</w:t>
      </w:r>
    </w:p>
    <w:p>
      <w:pPr>
        <w:numPr>
          <w:ilvl w:val="0"/>
          <w:numId w:val="5"/>
        </w:numPr>
        <w:spacing w:after="0"/>
        <w:jc w:val="left"/>
      </w:pPr>
      <w:r>
        <w:rPr>
          <w:rFonts w:ascii="Times New Roman" w:hAnsi="Times New Roman"/>
          <w:b/>
          <w:i/>
          <w:color w:val="000000"/>
          <w:sz w:val="22"/>
        </w:rPr>
        <w:t>The SSEB Members.</w:t>
      </w:r>
    </w:p>
    <w:p>
      <w:pPr>
        <w:numPr>
          <w:ilvl w:val="1"/>
          <w:numId w:val="6"/>
        </w:numPr>
        <w:spacing w:after="0"/>
        <w:jc w:val="left"/>
      </w:pPr>
      <w:r>
        <w:rPr>
          <w:rFonts w:ascii="Times New Roman" w:hAnsi="Times New Roman"/>
          <w:b w:val="false"/>
          <w:i w:val="false"/>
          <w:color w:val="000000"/>
          <w:sz w:val="22"/>
        </w:rPr>
        <w:t>Prepare the evaluation notices (ENs).</w:t>
      </w:r>
    </w:p>
    <w:p>
      <w:pPr>
        <w:numPr>
          <w:ilvl w:val="1"/>
          <w:numId w:val="6"/>
        </w:numPr>
        <w:spacing w:after="0"/>
        <w:jc w:val="left"/>
      </w:pPr>
      <w:r>
        <w:rPr>
          <w:rFonts w:ascii="Times New Roman" w:hAnsi="Times New Roman"/>
          <w:b w:val="false"/>
          <w:i w:val="false"/>
          <w:color w:val="000000"/>
          <w:sz w:val="22"/>
        </w:rPr>
        <w:t>Brief the SSAC/SSA (as requested), and respond to comments / instructions from the SSAC/SSA.</w:t>
      </w:r>
    </w:p>
    <w:p>
      <w:pPr>
        <w:pBdr>
          <w:top w:space="5"/>
          <w:left w:space="5"/>
          <w:bottom w:space="5"/>
          <w:right w:space="5"/>
        </w:pBdr>
        <w:spacing w:after="0"/>
        <w:ind w:left="225"/>
        <w:jc w:val="left"/>
      </w:pPr>
      <w:r>
        <w:rPr>
          <w:rFonts w:ascii="Times New Roman" w:hAnsi="Times New Roman"/>
          <w:b/>
          <w:i/>
          <w:color w:val="000000"/>
          <w:sz w:val="22"/>
        </w:rPr>
        <w:t>Legal Counsel.</w:t>
      </w:r>
    </w:p>
    <w:p>
      <w:pPr>
        <w:numPr>
          <w:ilvl w:val="0"/>
          <w:numId w:val="7"/>
        </w:numPr>
        <w:spacing w:after="0"/>
        <w:jc w:val="left"/>
      </w:pPr>
      <w:r>
        <w:rPr>
          <w:rFonts w:ascii="Times New Roman" w:hAnsi="Times New Roman"/>
          <w:b w:val="false"/>
          <w:i w:val="false"/>
          <w:color w:val="000000"/>
          <w:sz w:val="22"/>
        </w:rPr>
        <w:t>No Army text.</w:t>
      </w:r>
    </w:p>
    <w:p>
      <w:pPr>
        <w:pBdr>
          <w:top w:space="5"/>
          <w:left w:space="5"/>
          <w:bottom w:space="5"/>
          <w:right w:space="5"/>
        </w:pBdr>
        <w:spacing w:after="0"/>
        <w:ind w:left="225"/>
        <w:jc w:val="left"/>
      </w:pPr>
      <w:r>
        <w:rPr>
          <w:rFonts w:ascii="Times New Roman" w:hAnsi="Times New Roman"/>
          <w:b/>
          <w:i/>
          <w:color w:val="000000"/>
          <w:sz w:val="22"/>
        </w:rPr>
        <w:t>Other Advisors.</w:t>
      </w:r>
    </w:p>
    <w:p>
      <w:pPr>
        <w:numPr>
          <w:ilvl w:val="0"/>
          <w:numId w:val="8"/>
        </w:numPr>
        <w:spacing w:after="0"/>
        <w:jc w:val="left"/>
      </w:pPr>
      <w:r>
        <w:rPr>
          <w:rFonts w:ascii="Times New Roman" w:hAnsi="Times New Roman"/>
          <w:b w:val="false"/>
          <w:i w:val="false"/>
          <w:color w:val="000000"/>
          <w:sz w:val="22"/>
        </w:rPr>
        <w:t>No Army text.</w:t>
      </w:r>
    </w:p>
    <w:p>
      <w:pPr>
        <w:pBdr>
          <w:top w:space="5"/>
          <w:left w:space="5"/>
          <w:bottom w:space="5"/>
          <w:right w:space="5"/>
        </w:pBdr>
        <w:spacing w:after="0"/>
        <w:ind w:left="225"/>
        <w:jc w:val="left"/>
      </w:pPr>
      <w:r>
        <w:rPr>
          <w:rFonts w:ascii="Times New Roman" w:hAnsi="Times New Roman"/>
          <w:b/>
          <w:i/>
          <w:color w:val="000000"/>
          <w:sz w:val="22"/>
        </w:rPr>
        <w:t>Program Manager (PM) / Requiring Activity (RA).</w:t>
      </w:r>
    </w:p>
    <w:p>
      <w:pPr>
        <w:numPr>
          <w:ilvl w:val="0"/>
          <w:numId w:val="9"/>
        </w:numPr>
        <w:spacing w:after="0"/>
        <w:jc w:val="left"/>
      </w:pPr>
      <w:r>
        <w:rPr>
          <w:rFonts w:ascii="Times New Roman" w:hAnsi="Times New Roman"/>
          <w:b w:val="false"/>
          <w:i w:val="false"/>
          <w:color w:val="000000"/>
          <w:sz w:val="22"/>
        </w:rPr>
        <w:t>No Army text.</w:t>
      </w:r>
    </w:p>
    <w:p>
      <w:pPr>
        <w:pBdr>
          <w:top w:space="5"/>
          <w:left w:space="5"/>
          <w:bottom w:space="5"/>
          <w:right w:space="5"/>
        </w:pBdr>
        <w:spacing w:after="0"/>
        <w:ind w:left="225"/>
        <w:jc w:val="left"/>
      </w:pPr>
      <w:r>
        <w:rPr>
          <w:rFonts w:ascii="Times New Roman" w:hAnsi="Times New Roman"/>
          <w:b/>
          <w:i/>
          <w:color w:val="000000"/>
          <w:sz w:val="22"/>
        </w:rPr>
        <w:t>Administrative Support.</w:t>
      </w:r>
    </w:p>
    <w:p>
      <w:pPr>
        <w:numPr>
          <w:ilvl w:val="0"/>
          <w:numId w:val="10"/>
        </w:numPr>
        <w:spacing w:after="0"/>
        <w:jc w:val="left"/>
      </w:pPr>
      <w:r>
        <w:rPr>
          <w:rFonts w:ascii="Times New Roman" w:hAnsi="Times New Roman"/>
          <w:b w:val="false"/>
          <w:i w:val="false"/>
          <w:color w:val="000000"/>
          <w:sz w:val="22"/>
        </w:rPr>
        <w:t>Each acquisition will vary in terms of the administrative support requirements. Figure 1-3 contains a checklist of some important requirements common to many acquisitions.</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3574"/>
      </w:tblGrid>
      <w:tr>
        <w:trPr>
          <w:trHeight w:val="5655" w:hRule="atLeast"/>
        </w:trPr>
        <w:tc>
          <w:tcPr>
            <w:tcW w:w="135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11"/>
              </w:numPr>
              <w:spacing w:after="0"/>
              <w:ind w:left="845" w:hanging="360"/>
              <w:jc w:val="left"/>
            </w:pPr>
            <w:r>
              <w:rPr>
                <w:rFonts w:ascii="Times New Roman" w:hAnsi="Times New Roman"/>
                <w:b w:val="false"/>
                <w:i w:val="false"/>
                <w:color w:val="000000"/>
                <w:sz w:val="22"/>
              </w:rPr>
              <w:t>Adequate facilities (to include space for the evaluators and related meetings and for discussions with Offerors): Consider whether the facilities are of an adequate size, capable of segregation of committees, comfortable, properly furnished, secure, accessible to disabled persons, and close to support services such as copiers, restrooms, and eating facilities.</w:t>
            </w:r>
          </w:p>
          <w:p>
            <w:pPr>
              <w:numPr>
                <w:ilvl w:val="0"/>
                <w:numId w:val="11"/>
              </w:numPr>
              <w:spacing w:after="0"/>
              <w:ind w:left="845" w:hanging="360"/>
              <w:jc w:val="left"/>
            </w:pPr>
            <w:r>
              <w:rPr>
                <w:rFonts w:ascii="Times New Roman" w:hAnsi="Times New Roman"/>
                <w:b w:val="false"/>
                <w:i w:val="false"/>
                <w:color w:val="000000"/>
                <w:sz w:val="22"/>
              </w:rPr>
              <w:t>Appropriate security controls, such as identification badges and access control.</w:t>
            </w:r>
          </w:p>
          <w:p>
            <w:pPr>
              <w:numPr>
                <w:ilvl w:val="0"/>
                <w:numId w:val="11"/>
              </w:numPr>
              <w:spacing w:after="0"/>
              <w:ind w:left="845" w:hanging="360"/>
              <w:jc w:val="left"/>
            </w:pPr>
            <w:r>
              <w:rPr>
                <w:rFonts w:ascii="Times New Roman" w:hAnsi="Times New Roman"/>
                <w:b w:val="false"/>
                <w:i w:val="false"/>
                <w:color w:val="000000"/>
                <w:sz w:val="22"/>
              </w:rPr>
              <w:t>Adequate secure storage space for proposals and source selection materials.</w:t>
            </w:r>
          </w:p>
          <w:p>
            <w:pPr>
              <w:numPr>
                <w:ilvl w:val="0"/>
                <w:numId w:val="11"/>
              </w:numPr>
              <w:spacing w:after="0"/>
              <w:ind w:left="845" w:hanging="360"/>
              <w:jc w:val="left"/>
            </w:pPr>
            <w:r>
              <w:rPr>
                <w:rFonts w:ascii="Times New Roman" w:hAnsi="Times New Roman"/>
                <w:b w:val="false"/>
                <w:i w:val="false"/>
                <w:color w:val="000000"/>
                <w:sz w:val="22"/>
              </w:rPr>
              <w:t>Appropriate computer hardware and software and related support.</w:t>
            </w:r>
          </w:p>
          <w:p>
            <w:pPr>
              <w:numPr>
                <w:ilvl w:val="0"/>
                <w:numId w:val="11"/>
              </w:numPr>
              <w:spacing w:after="0"/>
              <w:ind w:left="845" w:hanging="360"/>
              <w:jc w:val="left"/>
            </w:pPr>
            <w:r>
              <w:rPr>
                <w:rFonts w:ascii="Times New Roman" w:hAnsi="Times New Roman"/>
                <w:b w:val="false"/>
                <w:i w:val="false"/>
                <w:color w:val="000000"/>
                <w:sz w:val="22"/>
              </w:rPr>
              <w:t>Adequate telephones, facsimile machines, copiers and/or printing services located in secure areas and secure audio/video teleconferencing capabilities.</w:t>
            </w:r>
          </w:p>
          <w:p>
            <w:pPr>
              <w:numPr>
                <w:ilvl w:val="0"/>
                <w:numId w:val="11"/>
              </w:numPr>
              <w:spacing w:after="0"/>
              <w:ind w:left="845" w:hanging="360"/>
              <w:jc w:val="left"/>
            </w:pPr>
            <w:r>
              <w:rPr>
                <w:rFonts w:ascii="Times New Roman" w:hAnsi="Times New Roman"/>
                <w:b w:val="false"/>
                <w:i w:val="false"/>
                <w:color w:val="000000"/>
                <w:sz w:val="22"/>
              </w:rPr>
              <w:t>Adequate office supplies.</w:t>
            </w:r>
          </w:p>
          <w:p>
            <w:pPr>
              <w:numPr>
                <w:ilvl w:val="0"/>
                <w:numId w:val="11"/>
              </w:numPr>
              <w:spacing w:after="0"/>
              <w:ind w:left="845" w:hanging="360"/>
              <w:jc w:val="left"/>
            </w:pPr>
            <w:r>
              <w:rPr>
                <w:rFonts w:ascii="Times New Roman" w:hAnsi="Times New Roman"/>
                <w:b w:val="false"/>
                <w:i w:val="false"/>
                <w:color w:val="000000"/>
                <w:sz w:val="22"/>
              </w:rPr>
              <w:t>Adequate lodging and transportation for personnel on temporary duty (TDY).</w:t>
            </w:r>
          </w:p>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val="false"/>
          <w:i w:val="false"/>
          <w:color w:val="000000"/>
          <w:sz w:val="22"/>
        </w:rPr>
        <w:t>Figure 1-3: Administrative Support Considerations</w:t>
      </w:r>
    </w:p>
    <w:p>
      <w:pPr>
        <w:pBdr>
          <w:top w:space="5"/>
          <w:left w:space="5"/>
          <w:bottom w:space="5"/>
          <w:right w:space="5"/>
        </w:pBdr>
        <w:spacing w:after="0"/>
        <w:ind w:left="225"/>
        <w:jc w:val="left"/>
      </w:pP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edia/document_image_rId4.png" Type="http://schemas.openxmlformats.org/officeDocument/2006/relationships/image"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