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**ID__AFARS_APPENDIX-AA_Chapter-2_2-1__ID**</w:t>
      </w:r>
    </w:p>
    <w:p>
      <w:pPr>
        <w:pStyle w:val="Heading3"/>
        <w:spacing w:after="199"/>
        <w:ind w:left="120"/>
        <w:jc w:val="left"/>
      </w:pPr>
      <w:r>
        <w:rPr>
          <w:rFonts w:ascii="Times New Roman" w:hAnsi="Times New Roman"/>
          <w:color w:val="000000"/>
          <w:sz w:val="36"/>
        </w:rPr>
        <w:t>2.1</w:t>
      </w:r>
      <w:r>
        <w:rPr>
          <w:rFonts w:ascii="Times New Roman" w:hAnsi="Times New Roman"/>
          <w:color w:val="000000"/>
          <w:sz w:val="36"/>
        </w:rPr>
        <w:t xml:space="preserve"> Conduct Acquisition Planning</w:t>
      </w:r>
    </w:p>
    <w:p>
      <w:pPr>
        <w:pBdr>
          <w:top w:space="5"/>
          <w:left w:space="5"/>
          <w:bottom w:space="5"/>
          <w:right w:space="5"/>
        </w:pBdr>
        <w:spacing w:after="0"/>
        <w:ind w:left="225"/>
        <w:jc w:val="left"/>
      </w:pPr>
      <w:r>
        <w:rPr>
          <w:rFonts w:ascii="Times New Roman" w:hAnsi="Times New Roman"/>
          <w:b/>
          <w:i/>
          <w:color w:val="000000"/>
          <w:sz w:val="22"/>
        </w:rPr>
        <w:t>Acquisition Planning.</w:t>
      </w:r>
      <w:r>
        <w:rPr>
          <w:rFonts w:ascii="Times New Roman" w:hAnsi="Times New Roman"/>
          <w:b w:val="false"/>
          <w:i w:val="false"/>
          <w:color w:val="000000"/>
          <w:sz w:val="22"/>
        </w:rPr>
        <w:t xml:space="preserve"> Acquisition planning should start when an agency identifies a need for supplies, construction and/or services. When practical, utilize an Integrated Product Team (IPT) approach to develop the acquisition strategy. This early teaming effort may reduce false starts and resultant delays that frequently accompany the preparation of a complex procurement.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w:t>
      </w:r>
      <w:r>
        <w:rPr>
          <w:rFonts w:ascii="Times New Roman" w:hAnsi="Times New Roman"/>
          <w:b w:val="false"/>
          <w:i/>
          <w:color w:val="000000"/>
          <w:sz w:val="22"/>
        </w:rPr>
        <w:t>)</w:t>
      </w:r>
    </w:p>
    <w:p>
      <w:pPr>
        <w:numPr>
          <w:ilvl w:val="0"/>
          <w:numId w:val="1"/>
        </w:numPr>
        <w:spacing w:after="0"/>
        <w:jc w:val="left"/>
      </w:pPr>
      <w:r>
        <w:rPr>
          <w:rFonts w:ascii="Times New Roman" w:hAnsi="Times New Roman"/>
          <w:b/>
          <w:i/>
          <w:color w:val="000000"/>
          <w:sz w:val="22"/>
        </w:rPr>
        <w:t>Best Practice:</w:t>
      </w:r>
      <w:r>
        <w:rPr>
          <w:rFonts w:ascii="Times New Roman" w:hAnsi="Times New Roman"/>
          <w:b w:val="false"/>
          <w:i/>
          <w:color w:val="000000"/>
          <w:sz w:val="22"/>
        </w:rPr>
        <w:t>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strategy as a whole.</w:t>
      </w:r>
    </w:p>
    <w:p>
      <w:pPr>
        <w:pBdr>
          <w:top w:space="5"/>
          <w:left w:space="5"/>
          <w:bottom w:space="5"/>
          <w:right w:space="5"/>
        </w:pBdr>
        <w:spacing w:after="0"/>
        <w:ind w:left="225"/>
        <w:jc w:val="left"/>
      </w:pPr>
      <w:r>
        <w:rPr>
          <w:rFonts w:ascii="Times New Roman" w:hAnsi="Times New Roman"/>
          <w:b/>
          <w:i/>
          <w:color w:val="000000"/>
          <w:sz w:val="22"/>
        </w:rPr>
        <w:t>Risk Assessment.</w:t>
      </w:r>
      <w:r>
        <w:rPr>
          <w:rFonts w:ascii="Times New Roman" w:hAnsi="Times New Roman"/>
          <w:b w:val="false"/>
          <w:i w:val="false"/>
          <w:color w:val="000000"/>
          <w:sz w:val="22"/>
        </w:rPr>
        <w:t xml:space="preserve"> Risk analysis is a critical component of acquisition planning, and the market research results should be a primary consideration as part of this analysis. Early identification, formation, and direct involvement of the acquisition team (and key stakeholders) will help to ensure a comprehensive understanding of the requirements and any marketplace influences on risk and risk mitigation. </w:t>
      </w:r>
      <w:r>
        <w:rPr>
          <w:rFonts w:ascii="Times New Roman" w:hAnsi="Times New Roman"/>
          <w:b w:val="false"/>
          <w:i/>
          <w:color w:val="000000"/>
          <w:sz w:val="22"/>
        </w:rPr>
        <w:t>(Reference DOD Source Selection Procedures</w:t>
      </w:r>
      <w:r>
        <w:rPr>
          <w:rFonts w:ascii="Times New Roman" w:hAnsi="Times New Roman"/>
          <w:b w:val="false"/>
          <w:i/>
          <w:color w:val="000000"/>
          <w:sz w:val="22"/>
        </w:rPr>
        <w:t>2.1.1.2</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i/>
          <w:color w:val="000000"/>
          <w:sz w:val="22"/>
        </w:rPr>
        <w:t>Peer Reviews.</w:t>
      </w:r>
      <w:r>
        <w:rPr>
          <w:rFonts w:ascii="Times New Roman" w:hAnsi="Times New Roman"/>
          <w:b w:val="false"/>
          <w:i w:val="false"/>
          <w:color w:val="000000"/>
          <w:sz w:val="22"/>
        </w:rPr>
        <w:t xml:space="preserve"> See AFARS 5101.170 for Preaward peer reviews. Planning, and including realistic time allowances, for all requisite reviews when establishing milestone schedules is essential to the success of your acquisition.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Market Research.</w:t>
      </w:r>
      <w:r>
        <w:rPr>
          <w:rFonts w:ascii="Times New Roman" w:hAnsi="Times New Roman"/>
          <w:b w:val="false"/>
          <w:i w:val="false"/>
          <w:color w:val="000000"/>
          <w:sz w:val="22"/>
        </w:rPr>
        <w:t xml:space="preserve"> Market research is a continuous process and directly influences how the acquisition strategy and source selection process is shaped. (Reference DOD Source Selection Procedures 2.1.2 and AFARS 5110.002).</w:t>
      </w:r>
    </w:p>
    <w:p>
      <w:pPr>
        <w:numPr>
          <w:ilvl w:val="0"/>
          <w:numId w:val="2"/>
        </w:numPr>
        <w:spacing w:after="0"/>
        <w:jc w:val="left"/>
      </w:pPr>
      <w:r>
        <w:rPr>
          <w:rFonts w:ascii="Times New Roman" w:hAnsi="Times New Roman"/>
          <w:b w:val="false"/>
          <w:i w:val="false"/>
          <w:color w:val="000000"/>
          <w:sz w:val="22"/>
        </w:rPr>
        <w:t>Some techniques you may use in conducting market research include:</w:t>
      </w:r>
    </w:p>
    <w:p>
      <w:pPr>
        <w:numPr>
          <w:ilvl w:val="0"/>
          <w:numId w:val="2"/>
        </w:numPr>
        <w:spacing w:after="0"/>
        <w:jc w:val="left"/>
      </w:pPr>
      <w:r>
        <w:rPr>
          <w:rFonts w:ascii="Times New Roman" w:hAnsi="Times New Roman"/>
          <w:b w:val="false"/>
          <w:i w:val="false"/>
          <w:color w:val="000000"/>
          <w:sz w:val="22"/>
        </w:rPr>
        <w:t>Use general sources of information available from the marketplace, other DOD/ government agencies, and the internet;</w:t>
      </w:r>
    </w:p>
    <w:p>
      <w:pPr>
        <w:numPr>
          <w:ilvl w:val="0"/>
          <w:numId w:val="2"/>
        </w:numPr>
        <w:spacing w:after="0"/>
        <w:jc w:val="left"/>
      </w:pPr>
      <w:r>
        <w:rPr>
          <w:rFonts w:ascii="Times New Roman" w:hAnsi="Times New Roman"/>
          <w:b w:val="false"/>
          <w:i w:val="false"/>
          <w:color w:val="000000"/>
          <w:sz w:val="22"/>
        </w:rPr>
        <w:t>Contact knowledgeable individuals regarding market capabilities and business practices (include the Small Business Advisor);</w:t>
      </w:r>
    </w:p>
    <w:p>
      <w:pPr>
        <w:numPr>
          <w:ilvl w:val="0"/>
          <w:numId w:val="2"/>
        </w:numPr>
        <w:spacing w:after="0"/>
        <w:jc w:val="left"/>
      </w:pPr>
      <w:r>
        <w:rPr>
          <w:rFonts w:ascii="Times New Roman" w:hAnsi="Times New Roman"/>
          <w:b w:val="false"/>
          <w:i w:val="false"/>
          <w:color w:val="000000"/>
          <w:sz w:val="22"/>
        </w:rPr>
        <w:t>Review the results of recent market research;</w:t>
      </w:r>
    </w:p>
    <w:p>
      <w:pPr>
        <w:numPr>
          <w:ilvl w:val="0"/>
          <w:numId w:val="2"/>
        </w:numPr>
        <w:spacing w:after="0"/>
        <w:jc w:val="left"/>
      </w:pPr>
      <w:r>
        <w:rPr>
          <w:rFonts w:ascii="Times New Roman" w:hAnsi="Times New Roman"/>
          <w:b w:val="false"/>
          <w:i w:val="false"/>
          <w:color w:val="000000"/>
          <w:sz w:val="22"/>
        </w:rPr>
        <w:t>Query government and/or commercial databases;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