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**ID__AFARS_APPENDIX-AA_Chapter-3_3-8__ID**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3.8</w:t>
      </w:r>
      <w:r>
        <w:rPr>
          <w:rFonts w:ascii="Times New Roman" w:hAnsi="Times New Roman"/>
          <w:color w:val="000000"/>
          <w:sz w:val="36"/>
        </w:rPr>
        <w:t xml:space="preserve"> Conduct and Document the Comparative Analysis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When performing the comparative analysis, the SSAC will consider each offeror’s total evaluated price and the discriminators in the non-cost ratings as indicated by the SSEB’s evaluation findings for each offeror. Consider these differences in light of the </w:t>
      </w:r>
      <w:r>
        <w:rPr>
          <w:rFonts w:ascii="Times New Roman" w:hAnsi="Times New Roman"/>
          <w:b/>
          <w:i/>
          <w:color w:val="000000"/>
          <w:sz w:val="22"/>
        </w:rPr>
        <w:t>relative importance(or weight)assigned to each evaluation factor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