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**ID__AFARS_APPENDIX-AA_Chapter-5__ID**</w:t>
      </w:r>
    </w:p>
    <w:p>
      <w:pPr>
        <w:pStyle w:val="Heading2"/>
        <w:spacing w:after="180"/>
        <w:ind w:left="120"/>
        <w:jc w:val="center"/>
      </w:pPr>
      <w:r>
        <w:rPr>
          <w:rFonts w:ascii="Times New Roman" w:hAnsi="Times New Roman"/>
          <w:color w:val="000000"/>
          <w:sz w:val="48"/>
        </w:rPr>
        <w:t>CHAPTER 5: DEFINITIONS</w:t>
      </w:r>
    </w:p>
    <w:p>
      <w:pPr>
        <w:pBdr>
          <w:top w:space="5"/>
          <w:left w:space="5"/>
          <w:bottom w:space="5"/>
          <w:right w:space="5"/>
        </w:pBdr>
        <w:spacing w:after="0"/>
        <w:ind w:left="225"/>
        <w:jc w:val="left"/>
      </w:pPr>
      <w:r>
        <w:rPr>
          <w:rFonts w:ascii="Times New Roman" w:hAnsi="Times New Roman"/>
          <w:b/>
          <w:i/>
          <w:color w:val="000000"/>
          <w:sz w:val="22"/>
        </w:rPr>
        <w:t>Affordability</w:t>
      </w:r>
      <w:r>
        <w:rPr>
          <w:rFonts w:ascii="Times New Roman" w:hAnsi="Times New Roman"/>
          <w:b w:val="false"/>
          <w:i w:val="false"/>
          <w:color w:val="000000"/>
          <w:sz w:val="22"/>
        </w:rPr>
        <w:t xml:space="preserve"> </w:t>
      </w:r>
      <w:r>
        <w:rPr>
          <w:rFonts w:ascii="Times New Roman" w:hAnsi="Times New Roman"/>
          <w:b/>
          <w:i/>
          <w:color w:val="000000"/>
          <w:sz w:val="22"/>
        </w:rPr>
        <w:t>Caps</w:t>
      </w:r>
      <w:r>
        <w:rPr>
          <w:rFonts w:ascii="Times New Roman" w:hAnsi="Times New Roman"/>
          <w:b w:val="false"/>
          <w:i w:val="false"/>
          <w:color w:val="000000"/>
          <w:sz w:val="22"/>
        </w:rPr>
        <w:t xml:space="preserve"> are the approved cost constraints for major systems acquisitions determined by the resources a DoD component can allocate, which provide a threshold for procurement and sustainment costs that cannot be exceeded. For other procurements, this is the approved funding allocated for a given acquisition.</w:t>
      </w:r>
    </w:p>
    <w:p>
      <w:pPr>
        <w:pBdr>
          <w:top w:space="5"/>
          <w:left w:space="5"/>
          <w:bottom w:space="5"/>
          <w:right w:space="5"/>
        </w:pBdr>
        <w:spacing w:after="0"/>
        <w:ind w:left="225"/>
        <w:jc w:val="left"/>
      </w:pPr>
      <w:r>
        <w:rPr>
          <w:rFonts w:ascii="Times New Roman" w:hAnsi="Times New Roman"/>
          <w:b/>
          <w:i/>
          <w:color w:val="000000"/>
          <w:sz w:val="22"/>
        </w:rPr>
        <w:t>Adverse past performance</w:t>
      </w:r>
      <w:r>
        <w:rPr>
          <w:rFonts w:ascii="Times New Roman" w:hAnsi="Times New Roman"/>
          <w:b w:val="false"/>
          <w:i w:val="false"/>
          <w:color w:val="000000"/>
          <w:sz w:val="22"/>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 A best practice can be to discuss adverse past performance which caused a rating to be lowered to Satisfactory Confidence.</w:t>
      </w:r>
    </w:p>
    <w:p>
      <w:pPr>
        <w:pBdr>
          <w:top w:space="5"/>
          <w:left w:space="5"/>
          <w:bottom w:space="5"/>
          <w:right w:space="5"/>
        </w:pBdr>
        <w:spacing w:after="0"/>
        <w:ind w:left="225"/>
        <w:jc w:val="left"/>
      </w:pPr>
      <w:r>
        <w:rPr>
          <w:rFonts w:ascii="Times New Roman" w:hAnsi="Times New Roman"/>
          <w:b/>
          <w:i/>
          <w:color w:val="000000"/>
          <w:sz w:val="22"/>
        </w:rPr>
        <w:t>Best Value</w:t>
      </w:r>
      <w:r>
        <w:rPr>
          <w:rFonts w:ascii="Times New Roman" w:hAnsi="Times New Roman"/>
          <w:b w:val="false"/>
          <w:i w:val="false"/>
          <w:color w:val="000000"/>
          <w:sz w:val="22"/>
        </w:rPr>
        <w:t>is the expected outcome of an acquisition that, in the Government’s estimation, provides the greatest overall benefit in response to the requirement.</w:t>
      </w:r>
    </w:p>
    <w:p>
      <w:pPr>
        <w:pBdr>
          <w:top w:space="5"/>
          <w:left w:space="5"/>
          <w:bottom w:space="5"/>
          <w:right w:space="5"/>
        </w:pBdr>
        <w:spacing w:after="0"/>
        <w:ind w:left="225"/>
        <w:jc w:val="left"/>
      </w:pPr>
      <w:r>
        <w:rPr>
          <w:rFonts w:ascii="Times New Roman" w:hAnsi="Times New Roman"/>
          <w:b/>
          <w:i/>
          <w:color w:val="000000"/>
          <w:sz w:val="22"/>
        </w:rPr>
        <w:t>Clarifications</w:t>
      </w:r>
      <w:r>
        <w:rPr>
          <w:rFonts w:ascii="Times New Roman" w:hAnsi="Times New Roman"/>
          <w:b w:val="false"/>
          <w:i w:val="false"/>
          <w:color w:val="000000"/>
          <w:sz w:val="22"/>
        </w:rPr>
        <w:t xml:space="preserve"> are limited exchanges between the Government and Offerors that may occur when award without discussions is contemplated.</w:t>
      </w:r>
    </w:p>
    <w:p>
      <w:pPr>
        <w:pBdr>
          <w:top w:space="5"/>
          <w:left w:space="5"/>
          <w:bottom w:space="5"/>
          <w:right w:space="5"/>
        </w:pBdr>
        <w:spacing w:after="0"/>
        <w:ind w:left="225"/>
        <w:jc w:val="left"/>
      </w:pPr>
      <w:r>
        <w:rPr>
          <w:rFonts w:ascii="Times New Roman" w:hAnsi="Times New Roman"/>
          <w:b/>
          <w:i/>
          <w:color w:val="000000"/>
          <w:sz w:val="22"/>
        </w:rPr>
        <w:t>Communications</w:t>
      </w:r>
      <w:r>
        <w:rPr>
          <w:rFonts w:ascii="Times New Roman" w:hAnsi="Times New Roman"/>
          <w:b w:val="false"/>
          <w:i w:val="false"/>
          <w:color w:val="000000"/>
          <w:sz w:val="22"/>
        </w:rPr>
        <w:t xml:space="preserve"> are exchanges, between the Government and Offerors, after receipt of proposals, leading to establishment of the competitive range.</w:t>
      </w:r>
    </w:p>
    <w:p>
      <w:pPr>
        <w:pBdr>
          <w:top w:space="5"/>
          <w:left w:space="5"/>
          <w:bottom w:space="5"/>
          <w:right w:space="5"/>
        </w:pBdr>
        <w:spacing w:after="0"/>
        <w:ind w:left="225"/>
        <w:jc w:val="left"/>
      </w:pPr>
      <w:r>
        <w:rPr>
          <w:rFonts w:ascii="Times New Roman" w:hAnsi="Times New Roman"/>
          <w:b/>
          <w:i/>
          <w:color w:val="000000"/>
          <w:sz w:val="22"/>
        </w:rPr>
        <w:t>Competitive Range</w:t>
      </w:r>
      <w:r>
        <w:rPr>
          <w:rFonts w:ascii="Times New Roman" w:hAnsi="Times New Roman"/>
          <w:b w:val="false"/>
          <w:i w:val="false"/>
          <w:color w:val="000000"/>
          <w:sz w:val="22"/>
        </w:rPr>
        <w:t xml:space="preserve"> is the range of proposals that are most highly rated, unless the range is further reduced for efficiency. Discussions will be held only with Offerors in the competitive range. See FAR 15.306(c).</w:t>
      </w:r>
    </w:p>
    <w:p>
      <w:pPr>
        <w:pBdr>
          <w:top w:space="5"/>
          <w:left w:space="5"/>
          <w:bottom w:space="5"/>
          <w:right w:space="5"/>
        </w:pBdr>
        <w:spacing w:after="0"/>
        <w:ind w:left="225"/>
        <w:jc w:val="left"/>
      </w:pPr>
      <w:r>
        <w:rPr>
          <w:rFonts w:ascii="Times New Roman" w:hAnsi="Times New Roman"/>
          <w:b/>
          <w:i/>
          <w:color w:val="000000"/>
          <w:sz w:val="22"/>
        </w:rPr>
        <w:t>Deficiency</w:t>
      </w:r>
      <w:r>
        <w:rPr>
          <w:rFonts w:ascii="Times New Roman" w:hAnsi="Times New Roman"/>
          <w:b w:val="false"/>
          <w:i w:val="false"/>
          <w:color w:val="000000"/>
          <w:sz w:val="22"/>
        </w:rPr>
        <w:t xml:space="preserve"> is a material failure of a proposal to meet a Government requirement or a combination of significant weaknesses in a proposal that increases the risk of unsuccessful contract performance to an unacceptable level. See FAR 15.001.</w:t>
      </w:r>
    </w:p>
    <w:p>
      <w:pPr>
        <w:pStyle w:val="Normal"/>
        <w:pBdr>
          <w:top w:space="5"/>
          <w:left w:space="5"/>
          <w:bottom w:space="5"/>
          <w:right w:space="5"/>
        </w:pBdr>
        <w:spacing w:after="0"/>
        <w:ind w:left="225"/>
        <w:jc w:val="left"/>
      </w:pPr>
      <w:r>
        <w:rPr>
          <w:rFonts w:ascii="Times New Roman" w:hAnsi="Times New Roman"/>
          <w:b/>
          <w:i/>
          <w:color w:val="000000"/>
        </w:rPr>
        <w:t>Discussions</w:t>
      </w:r>
      <w:r>
        <w:rPr>
          <w:rFonts w:ascii="Times New Roman" w:hAnsi="Times New Roman"/>
          <w:color w:val="000000"/>
        </w:rPr>
        <w:t>are exchanges (i.e., negotiations) in a competitive environment that are undertaken with the intent of allowing the offeror to revise its proposal. Discussions take place after establishment of the competitive range. See FAR 15.306(d).</w:t>
      </w:r>
    </w:p>
    <w:p>
      <w:pPr>
        <w:pBdr>
          <w:top w:space="5"/>
          <w:left w:space="5"/>
          <w:bottom w:space="5"/>
          <w:right w:space="5"/>
        </w:pBdr>
        <w:spacing w:after="0"/>
        <w:ind w:left="225"/>
        <w:jc w:val="left"/>
      </w:pPr>
      <w:r>
        <w:rPr>
          <w:rFonts w:ascii="Times New Roman" w:hAnsi="Times New Roman"/>
          <w:b/>
          <w:i/>
          <w:color w:val="000000"/>
          <w:sz w:val="22"/>
        </w:rPr>
        <w:t>Due Diligence (Industry)</w:t>
      </w:r>
      <w:r>
        <w:rPr>
          <w:rFonts w:ascii="Times New Roman" w:hAnsi="Times New Roman"/>
          <w:b w:val="false"/>
          <w:i w:val="false"/>
          <w:color w:val="000000"/>
          <w:sz w:val="22"/>
        </w:rPr>
        <w:t xml:space="preserve"> </w:t>
      </w:r>
      <w:r>
        <w:rPr>
          <w:rFonts w:ascii="Times New Roman" w:hAnsi="Times New Roman"/>
          <w:b/>
          <w:i/>
          <w:color w:val="000000"/>
          <w:sz w:val="22"/>
        </w:rPr>
        <w:t>–</w:t>
      </w:r>
      <w:r>
        <w:rPr>
          <w:rFonts w:ascii="Times New Roman" w:hAnsi="Times New Roman"/>
          <w:b w:val="false"/>
          <w:i w:val="false"/>
          <w:color w:val="000000"/>
          <w:sz w:val="22"/>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pPr>
        <w:pBdr>
          <w:top w:space="5"/>
          <w:left w:space="5"/>
          <w:bottom w:space="5"/>
          <w:right w:space="5"/>
        </w:pBdr>
        <w:spacing w:after="0"/>
        <w:ind w:left="225"/>
        <w:jc w:val="left"/>
      </w:pPr>
      <w:r>
        <w:rPr>
          <w:rFonts w:ascii="Times New Roman" w:hAnsi="Times New Roman"/>
          <w:b/>
          <w:i/>
          <w:color w:val="000000"/>
          <w:sz w:val="22"/>
        </w:rPr>
        <w:t>Due Diligence (Government)</w:t>
      </w:r>
      <w:r>
        <w:rPr>
          <w:rFonts w:ascii="Times New Roman" w:hAnsi="Times New Roman"/>
          <w:b/>
          <w:i w:val="false"/>
          <w:color w:val="000000"/>
          <w:sz w:val="22"/>
        </w:rPr>
        <w:t>–</w:t>
      </w:r>
      <w:r>
        <w:rPr>
          <w:rFonts w:ascii="Times New Roman" w:hAnsi="Times New Roman"/>
          <w:b w:val="false"/>
          <w:i w:val="false"/>
          <w:color w:val="000000"/>
          <w:sz w:val="22"/>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pPr>
        <w:pBdr>
          <w:top w:space="5"/>
          <w:left w:space="5"/>
          <w:bottom w:space="5"/>
          <w:right w:space="5"/>
        </w:pBdr>
        <w:spacing w:after="0"/>
        <w:ind w:left="225"/>
        <w:jc w:val="left"/>
      </w:pPr>
      <w:r>
        <w:rPr>
          <w:rFonts w:ascii="Times New Roman" w:hAnsi="Times New Roman"/>
          <w:b/>
          <w:i/>
          <w:color w:val="000000"/>
          <w:sz w:val="22"/>
        </w:rPr>
        <w:t>Evaluation Findings</w:t>
      </w:r>
      <w:r>
        <w:rPr>
          <w:rFonts w:ascii="Times New Roman" w:hAnsi="Times New Roman"/>
          <w:b w:val="false"/>
          <w:i w:val="false"/>
          <w:color w:val="000000"/>
          <w:sz w:val="22"/>
        </w:rPr>
        <w:t>are the evaluator’s</w:t>
      </w:r>
      <w:r>
        <w:rPr>
          <w:rFonts w:ascii="Times New Roman" w:hAnsi="Times New Roman"/>
          <w:b w:val="false"/>
          <w:i w:val="false"/>
          <w:color w:val="000000"/>
          <w:sz w:val="22"/>
        </w:rPr>
        <w:t>written observations/judgments regarding the individual merits of the proposal against the RFP requirements.</w:t>
      </w:r>
    </w:p>
    <w:p>
      <w:pPr>
        <w:pStyle w:val="Normal"/>
        <w:pBdr>
          <w:top w:space="5"/>
          <w:left w:space="5"/>
          <w:bottom w:space="5"/>
          <w:right w:space="5"/>
        </w:pBdr>
        <w:spacing w:after="0"/>
        <w:ind w:left="225"/>
        <w:jc w:val="left"/>
      </w:pPr>
      <w:r>
        <w:rPr>
          <w:rFonts w:ascii="Times New Roman" w:hAnsi="Times New Roman"/>
          <w:b/>
          <w:i/>
          <w:color w:val="000000"/>
        </w:rPr>
        <w:t>Evaluation</w:t>
      </w:r>
      <w:r>
        <w:rPr>
          <w:rFonts w:ascii="Times New Roman" w:hAnsi="Times New Roman"/>
          <w:b/>
          <w:i/>
          <w:color w:val="000000"/>
        </w:rPr>
        <w:t>Notice</w:t>
      </w:r>
      <w:r>
        <w:rPr>
          <w:rFonts w:ascii="Times New Roman" w:hAnsi="Times New Roman"/>
          <w:color w:val="000000"/>
        </w:rPr>
        <w:t xml:space="preserve"> is the PCO’s written notification to the offeror for purposes of clarifications, communications, or discussions.</w:t>
      </w:r>
    </w:p>
    <w:p>
      <w:pPr>
        <w:pStyle w:val="Normal"/>
        <w:pBdr>
          <w:top w:space="5"/>
          <w:left w:space="5"/>
          <w:bottom w:space="5"/>
          <w:right w:space="5"/>
        </w:pBdr>
        <w:spacing w:after="0"/>
        <w:ind w:left="225"/>
        <w:jc w:val="left"/>
      </w:pPr>
      <w:r>
        <w:rPr>
          <w:rFonts w:ascii="Times New Roman" w:hAnsi="Times New Roman"/>
          <w:b/>
          <w:i/>
          <w:color w:val="000000"/>
        </w:rPr>
        <w:t>Excesses</w:t>
      </w:r>
      <w:r>
        <w:rPr>
          <w:rFonts w:ascii="Times New Roman" w:hAnsi="Times New Roman"/>
          <w:color w:val="000000"/>
        </w:rPr>
        <w:t>are elements of the proposal that have exceeded mandatory minimums (in ways that are not integral to the design) whose removal and corresponding price decrease may make an Offeror’s proposal more competitive. See FAR 15.306(d)(4).</w:t>
      </w:r>
    </w:p>
    <w:p>
      <w:pPr>
        <w:pBdr>
          <w:top w:space="5"/>
          <w:left w:space="5"/>
          <w:bottom w:space="5"/>
          <w:right w:space="5"/>
        </w:pBdr>
        <w:spacing w:after="0"/>
        <w:ind w:left="225"/>
        <w:jc w:val="left"/>
      </w:pPr>
      <w:r>
        <w:rPr>
          <w:rFonts w:ascii="Times New Roman" w:hAnsi="Times New Roman"/>
          <w:b/>
          <w:i/>
          <w:color w:val="000000"/>
          <w:sz w:val="22"/>
        </w:rPr>
        <w:t>Formal Source S</w:t>
      </w:r>
      <w:r>
        <w:rPr>
          <w:rFonts w:ascii="Times New Roman" w:hAnsi="Times New Roman"/>
          <w:b/>
          <w:i/>
          <w:color w:val="000000"/>
          <w:sz w:val="22"/>
        </w:rPr>
        <w:t>election</w:t>
      </w:r>
      <w:r>
        <w:rPr>
          <w:rFonts w:ascii="Times New Roman" w:hAnsi="Times New Roman"/>
          <w:b w:val="false"/>
          <w:i w:val="false"/>
          <w:color w:val="000000"/>
          <w:sz w:val="22"/>
        </w:rPr>
        <w:t xml:space="preserve"> means the source selection process used where someone other than the PCO is the SSA, normally for high dollar value or complex acquisitions.</w:t>
      </w:r>
    </w:p>
    <w:p>
      <w:pPr>
        <w:pBdr>
          <w:top w:space="5"/>
          <w:left w:space="5"/>
          <w:bottom w:space="5"/>
          <w:right w:space="5"/>
        </w:pBdr>
        <w:spacing w:after="0"/>
        <w:ind w:left="225"/>
        <w:jc w:val="left"/>
      </w:pPr>
      <w:r>
        <w:rPr>
          <w:rFonts w:ascii="Times New Roman" w:hAnsi="Times New Roman"/>
          <w:b/>
          <w:i/>
          <w:color w:val="000000"/>
          <w:sz w:val="22"/>
        </w:rPr>
        <w:t>Large Business</w:t>
      </w:r>
      <w:r>
        <w:rPr>
          <w:rFonts w:ascii="Times New Roman" w:hAnsi="Times New Roman"/>
          <w:b w:val="false"/>
          <w:i w:val="false"/>
          <w:color w:val="000000"/>
          <w:sz w:val="22"/>
        </w:rPr>
        <w:t>means businesses determined other than Small Business based upon industry size standards and/or North American Industry Classification System [NAICs]. Includes: Large businesses, State and Local Government and non-profit companies. May also include: public utilities, educational institutions, and foreign-owned firms.</w:t>
      </w:r>
    </w:p>
    <w:p>
      <w:pPr>
        <w:pBdr>
          <w:top w:space="5"/>
          <w:left w:space="5"/>
          <w:bottom w:space="5"/>
          <w:right w:space="5"/>
        </w:pBdr>
        <w:spacing w:after="0"/>
        <w:ind w:left="225"/>
        <w:jc w:val="left"/>
      </w:pPr>
      <w:r>
        <w:rPr>
          <w:rFonts w:ascii="Times New Roman" w:hAnsi="Times New Roman"/>
          <w:b/>
          <w:i/>
          <w:color w:val="000000"/>
          <w:sz w:val="22"/>
        </w:rPr>
        <w:t>Lowest Price</w:t>
      </w:r>
      <w:r>
        <w:rPr>
          <w:rFonts w:ascii="Times New Roman" w:hAnsi="Times New Roman"/>
          <w:b w:val="false"/>
          <w:i w:val="false"/>
          <w:color w:val="000000"/>
          <w:sz w:val="22"/>
        </w:rPr>
        <w:t xml:space="preserve"> </w:t>
      </w:r>
      <w:r>
        <w:rPr>
          <w:rFonts w:ascii="Times New Roman" w:hAnsi="Times New Roman"/>
          <w:b/>
          <w:i/>
          <w:color w:val="000000"/>
          <w:sz w:val="22"/>
        </w:rPr>
        <w:t>Technically Acceptable</w:t>
      </w:r>
      <w:r>
        <w:rPr>
          <w:rFonts w:ascii="Times New Roman" w:hAnsi="Times New Roman"/>
          <w:b w:val="false"/>
          <w:i w:val="false"/>
          <w:color w:val="000000"/>
          <w:sz w:val="22"/>
        </w:rPr>
        <w:t xml:space="preserve"> is a process used in competitive negotiated contracting where the best value is expected to result from selection of the technically acceptable proposal with the lowest evaluated price. See FAR 15.101-2.</w:t>
      </w:r>
    </w:p>
    <w:p>
      <w:pPr>
        <w:pBdr>
          <w:top w:space="5"/>
          <w:left w:space="5"/>
          <w:bottom w:space="5"/>
          <w:right w:space="5"/>
        </w:pBdr>
        <w:spacing w:after="0"/>
        <w:ind w:left="225"/>
        <w:jc w:val="left"/>
      </w:pPr>
      <w:r>
        <w:rPr>
          <w:rFonts w:ascii="Times New Roman" w:hAnsi="Times New Roman"/>
          <w:b/>
          <w:i/>
          <w:color w:val="000000"/>
          <w:sz w:val="22"/>
        </w:rPr>
        <w:t>Minor or Clerical Error</w:t>
      </w:r>
      <w:r>
        <w:rPr>
          <w:rFonts w:ascii="Times New Roman" w:hAnsi="Times New Roman"/>
          <w:b w:val="false"/>
          <w:i w:val="false"/>
          <w:color w:val="000000"/>
          <w:sz w:val="22"/>
        </w:rPr>
        <w:t>is a minor informality or irregularity that is merely a matter of form and not of substance or a clerical error apparent on its face in the proposal. Includes: obvious misplacement of decimal points, incorrect discounts, reversal of prices, and misdesignation of units.</w:t>
      </w:r>
    </w:p>
    <w:p>
      <w:pPr>
        <w:pStyle w:val="Normal"/>
        <w:pBdr>
          <w:top w:space="5"/>
          <w:left w:space="5"/>
          <w:bottom w:space="5"/>
          <w:right w:space="5"/>
        </w:pBdr>
        <w:spacing w:after="0"/>
        <w:ind w:left="225"/>
        <w:jc w:val="left"/>
      </w:pPr>
      <w:r>
        <w:rPr>
          <w:rFonts w:ascii="Times New Roman" w:hAnsi="Times New Roman"/>
          <w:b/>
          <w:i/>
          <w:color w:val="000000"/>
        </w:rPr>
        <w:t>Objective (or objective (maximum)</w:t>
      </w:r>
      <w:r>
        <w:rPr>
          <w:rFonts w:ascii="Times New Roman" w:hAnsi="Times New Roman"/>
          <w:color w:val="000000"/>
        </w:rPr>
        <w:t xml:space="preserve"> as used in this document) is the value of an attribute that is applicable when a higher level of performance delivers significant increased operational effect, or decreased operational risk, if it can be delivered below the affordability cap. The objective value is the desired operational goal that is achievable but may be at a higher risk in cost, schedule, and technology. (For use in VATEP)</w:t>
      </w:r>
    </w:p>
    <w:p>
      <w:pPr>
        <w:pBdr>
          <w:top w:space="5"/>
          <w:left w:space="5"/>
          <w:bottom w:space="5"/>
          <w:right w:space="5"/>
        </w:pBdr>
        <w:spacing w:after="0"/>
        <w:ind w:left="225"/>
        <w:jc w:val="left"/>
      </w:pPr>
      <w:r>
        <w:rPr>
          <w:rFonts w:ascii="Times New Roman" w:hAnsi="Times New Roman"/>
          <w:b/>
          <w:i/>
          <w:color w:val="000000"/>
          <w:sz w:val="22"/>
        </w:rPr>
        <w:t>Performance Confidence Assessment</w:t>
      </w:r>
      <w:r>
        <w:rPr>
          <w:rFonts w:ascii="Times New Roman" w:hAnsi="Times New Roman"/>
          <w:b w:val="false"/>
          <w:i w:val="false"/>
          <w:color w:val="000000"/>
          <w:sz w:val="22"/>
        </w:rPr>
        <w:t xml:space="preserve"> is an evaluation of the likelihood (or Government’s confidence) that the offeror will successfully perform the RFP’s requirements; the evaluation is based past performance information.</w:t>
      </w:r>
    </w:p>
    <w:p>
      <w:pPr>
        <w:pBdr>
          <w:top w:space="5"/>
          <w:left w:space="5"/>
          <w:bottom w:space="5"/>
          <w:right w:space="5"/>
        </w:pBdr>
        <w:spacing w:after="0"/>
        <w:ind w:left="225"/>
        <w:jc w:val="left"/>
      </w:pPr>
      <w:r>
        <w:rPr>
          <w:rFonts w:ascii="Times New Roman" w:hAnsi="Times New Roman"/>
          <w:b/>
          <w:i/>
          <w:color w:val="000000"/>
          <w:sz w:val="22"/>
        </w:rPr>
        <w:t>Probable Cost</w:t>
      </w:r>
      <w:r>
        <w:rPr>
          <w:rFonts w:ascii="Times New Roman" w:hAnsi="Times New Roman"/>
          <w:b w:val="false"/>
          <w:i w:val="false"/>
          <w:color w:val="000000"/>
          <w:sz w:val="22"/>
        </w:rPr>
        <w:t xml:space="preserve"> is the government’s best estimate of the costs that a contractor will incur in performing a cost-reimbursement contract (FAR 15.404-1(d) (2)(i)). The probable cost must be ascertained by making a cost realism analysis during the evaluation of each proposal and must be used in making the source selection decision for best value.</w:t>
      </w:r>
    </w:p>
    <w:p>
      <w:pPr>
        <w:pBdr>
          <w:top w:space="5"/>
          <w:left w:space="5"/>
          <w:bottom w:space="5"/>
          <w:right w:space="5"/>
        </w:pBdr>
        <w:spacing w:after="0"/>
        <w:ind w:left="225"/>
        <w:jc w:val="left"/>
      </w:pPr>
      <w:r>
        <w:rPr>
          <w:rFonts w:ascii="Times New Roman" w:hAnsi="Times New Roman"/>
          <w:b/>
          <w:i/>
          <w:color w:val="000000"/>
          <w:sz w:val="22"/>
        </w:rPr>
        <w:t>Program Manager or Requiring Activity</w:t>
      </w:r>
      <w:r>
        <w:rPr>
          <w:rFonts w:ascii="Times New Roman" w:hAnsi="Times New Roman"/>
          <w:b w:val="false"/>
          <w:i w:val="false"/>
          <w:color w:val="000000"/>
          <w:sz w:val="22"/>
        </w:rPr>
        <w:t xml:space="preserve"> is the entity responsible for providing contract requirements documents within the RFP that communicate those requirements to the offeror.</w:t>
      </w:r>
    </w:p>
    <w:p>
      <w:pPr>
        <w:pBdr>
          <w:top w:space="5"/>
          <w:left w:space="5"/>
          <w:bottom w:space="5"/>
          <w:right w:space="5"/>
        </w:pBdr>
        <w:spacing w:after="0"/>
        <w:ind w:left="225"/>
        <w:jc w:val="left"/>
      </w:pPr>
      <w:r>
        <w:rPr>
          <w:rFonts w:ascii="Times New Roman" w:hAnsi="Times New Roman"/>
          <w:b/>
          <w:i/>
          <w:color w:val="000000"/>
          <w:sz w:val="22"/>
        </w:rPr>
        <w:t>Rating</w:t>
      </w:r>
      <w:r>
        <w:rPr>
          <w:rFonts w:ascii="Times New Roman" w:hAnsi="Times New Roman"/>
          <w:b w:val="false"/>
          <w:i w:val="false"/>
          <w:color w:val="000000"/>
          <w:sz w:val="22"/>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w:t>
      </w:r>
    </w:p>
    <w:p>
      <w:pPr>
        <w:pBdr>
          <w:top w:space="5"/>
          <w:left w:space="5"/>
          <w:bottom w:space="5"/>
          <w:right w:space="5"/>
        </w:pBdr>
        <w:spacing w:after="0"/>
        <w:ind w:left="225"/>
        <w:jc w:val="left"/>
      </w:pPr>
      <w:r>
        <w:rPr>
          <w:rFonts w:ascii="Times New Roman" w:hAnsi="Times New Roman"/>
          <w:b/>
          <w:i/>
          <w:color w:val="000000"/>
          <w:sz w:val="22"/>
        </w:rPr>
        <w:t>Recency</w:t>
      </w:r>
      <w:r>
        <w:rPr>
          <w:rFonts w:ascii="Times New Roman" w:hAnsi="Times New Roman"/>
          <w:b w:val="false"/>
          <w:i w:val="false"/>
          <w:color w:val="000000"/>
          <w:sz w:val="22"/>
        </w:rPr>
        <w:t>, as it pertains to past performance information, is a measure of the time that has elapsed since the past performance reference occurred. Recency is generally expressed as a time period during which past performance references are considered relevant.</w:t>
      </w:r>
    </w:p>
    <w:p>
      <w:pPr>
        <w:pBdr>
          <w:top w:space="5"/>
          <w:left w:space="5"/>
          <w:bottom w:space="5"/>
          <w:right w:space="5"/>
        </w:pBdr>
        <w:spacing w:after="0"/>
        <w:ind w:left="225"/>
        <w:jc w:val="left"/>
      </w:pPr>
      <w:r>
        <w:rPr>
          <w:rFonts w:ascii="Times New Roman" w:hAnsi="Times New Roman"/>
          <w:b/>
          <w:i/>
          <w:color w:val="000000"/>
          <w:sz w:val="22"/>
        </w:rPr>
        <w:t>Relevancy</w:t>
      </w:r>
      <w:r>
        <w:rPr>
          <w:rFonts w:ascii="Times New Roman" w:hAnsi="Times New Roman"/>
          <w:b w:val="false"/>
          <w:i w:val="false"/>
          <w:color w:val="000000"/>
          <w:sz w:val="22"/>
        </w:rPr>
        <w:t>, as it pertains to past performance information, is a measure of the extent of similarity between the service/support effort, complexity, dollar value, contract type, and subcontract/teaming or other comparable attributes of past performance examples and the source RFP requirements; and a measure of the likelihood that the past performance is an indicator of future performance.</w:t>
      </w:r>
    </w:p>
    <w:p>
      <w:pPr>
        <w:pBdr>
          <w:top w:space="5"/>
          <w:left w:space="5"/>
          <w:bottom w:space="5"/>
          <w:right w:space="5"/>
        </w:pBdr>
        <w:spacing w:after="0"/>
        <w:ind w:left="225"/>
        <w:jc w:val="left"/>
      </w:pPr>
      <w:r>
        <w:rPr>
          <w:rFonts w:ascii="Times New Roman" w:hAnsi="Times New Roman"/>
          <w:b/>
          <w:i/>
          <w:color w:val="000000"/>
          <w:sz w:val="22"/>
        </w:rPr>
        <w:t>Requirements Documents</w:t>
      </w:r>
      <w:r>
        <w:rPr>
          <w:rFonts w:ascii="Times New Roman" w:hAnsi="Times New Roman"/>
          <w:b w:val="false"/>
          <w:i w:val="false"/>
          <w:color w:val="000000"/>
          <w:sz w:val="22"/>
        </w:rPr>
        <w:t xml:space="preserve"> are all aspects of the RFP that convey the needs of the Government to offerors, including the Statement of Objectives, SOW, PWS, technical requirement documents, and system requirement documents.</w:t>
      </w:r>
    </w:p>
    <w:p>
      <w:pPr>
        <w:pBdr>
          <w:top w:space="5"/>
          <w:left w:space="5"/>
          <w:bottom w:space="5"/>
          <w:right w:space="5"/>
        </w:pBdr>
        <w:spacing w:after="0"/>
        <w:ind w:left="225"/>
        <w:jc w:val="left"/>
      </w:pPr>
      <w:r>
        <w:rPr>
          <w:rFonts w:ascii="Times New Roman" w:hAnsi="Times New Roman"/>
          <w:b/>
          <w:i/>
          <w:color w:val="000000"/>
          <w:sz w:val="22"/>
        </w:rPr>
        <w:t>Risk</w:t>
      </w:r>
      <w:r>
        <w:rPr>
          <w:rFonts w:ascii="Times New Roman" w:hAnsi="Times New Roman"/>
          <w:b w:val="false"/>
          <w:i w:val="false"/>
          <w:color w:val="000000"/>
          <w:sz w:val="22"/>
        </w:rPr>
        <w:t>, as it pertains to source selection, is the potential for unsuccessful contract performance. The consideration of risk assesses the degree to which an offeror’s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w:t>
      </w:r>
    </w:p>
    <w:p>
      <w:pPr>
        <w:pBdr>
          <w:top w:space="5"/>
          <w:left w:space="5"/>
          <w:bottom w:space="5"/>
          <w:right w:space="5"/>
        </w:pBdr>
        <w:spacing w:after="0"/>
        <w:ind w:left="225"/>
        <w:jc w:val="left"/>
      </w:pPr>
      <w:r>
        <w:rPr>
          <w:rFonts w:ascii="Times New Roman" w:hAnsi="Times New Roman"/>
          <w:b/>
          <w:i/>
          <w:color w:val="000000"/>
          <w:sz w:val="22"/>
        </w:rPr>
        <w:t>Sample Task</w:t>
      </w:r>
      <w:r>
        <w:rPr>
          <w:rFonts w:ascii="Times New Roman" w:hAnsi="Times New Roman"/>
          <w:b w:val="false"/>
          <w:i w:val="false"/>
          <w:color w:val="000000"/>
          <w:sz w:val="22"/>
        </w:rPr>
        <w:t xml:space="preserve"> 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pPr>
        <w:pBdr>
          <w:top w:space="5"/>
          <w:left w:space="5"/>
          <w:bottom w:space="5"/>
          <w:right w:space="5"/>
        </w:pBdr>
        <w:spacing w:after="0"/>
        <w:ind w:left="225"/>
        <w:jc w:val="left"/>
      </w:pPr>
      <w:r>
        <w:rPr>
          <w:rFonts w:ascii="Times New Roman" w:hAnsi="Times New Roman"/>
          <w:b/>
          <w:i/>
          <w:color w:val="000000"/>
          <w:sz w:val="22"/>
        </w:rPr>
        <w:t>Significant Strength</w:t>
      </w:r>
      <w:r>
        <w:rPr>
          <w:rFonts w:ascii="Times New Roman" w:hAnsi="Times New Roman"/>
          <w:b w:val="false"/>
          <w:i w:val="false"/>
          <w:color w:val="000000"/>
          <w:sz w:val="22"/>
        </w:rPr>
        <w:t>is an aspect of an Offeror’s proposal that has appreciable merit or appreciably exceeds specified performance or capability requirements in a way that will be appreciably advantageous to the Government during contract performance.</w:t>
      </w:r>
    </w:p>
    <w:p>
      <w:pPr>
        <w:pStyle w:val="Normal"/>
        <w:pBdr>
          <w:top w:space="5"/>
          <w:left w:space="5"/>
          <w:bottom w:space="5"/>
          <w:right w:space="5"/>
        </w:pBdr>
        <w:spacing w:after="0"/>
        <w:ind w:left="225"/>
        <w:jc w:val="left"/>
      </w:pPr>
      <w:r>
        <w:rPr>
          <w:rFonts w:ascii="Times New Roman" w:hAnsi="Times New Roman"/>
          <w:b/>
          <w:i/>
          <w:color w:val="000000"/>
        </w:rPr>
        <w:t>Significant</w:t>
      </w:r>
      <w:r>
        <w:rPr>
          <w:rFonts w:ascii="Times New Roman" w:hAnsi="Times New Roman"/>
          <w:b/>
          <w:i/>
          <w:color w:val="000000"/>
        </w:rPr>
        <w:t>Weakness</w:t>
      </w:r>
      <w:r>
        <w:rPr>
          <w:rFonts w:ascii="Times New Roman" w:hAnsi="Times New Roman"/>
          <w:color w:val="000000"/>
        </w:rPr>
        <w:t>in the proposal is a flaw that appreciably increases the risk of unsuccessful contract performance. See FAR 15.001.</w:t>
      </w:r>
    </w:p>
    <w:p>
      <w:pPr>
        <w:pBdr>
          <w:top w:space="5"/>
          <w:left w:space="5"/>
          <w:bottom w:space="5"/>
          <w:right w:space="5"/>
        </w:pBdr>
        <w:spacing w:after="0"/>
        <w:ind w:left="225"/>
        <w:jc w:val="left"/>
      </w:pPr>
      <w:r>
        <w:rPr>
          <w:rFonts w:ascii="Times New Roman" w:hAnsi="Times New Roman"/>
          <w:b/>
          <w:i/>
          <w:color w:val="000000"/>
          <w:sz w:val="22"/>
        </w:rPr>
        <w:t>Source Selection</w:t>
      </w:r>
      <w:r>
        <w:rPr>
          <w:rFonts w:ascii="Times New Roman" w:hAnsi="Times New Roman"/>
          <w:b w:val="false"/>
          <w:i w:val="false"/>
          <w:color w:val="000000"/>
          <w:sz w:val="22"/>
        </w:rPr>
        <w:t xml:space="preserve"> is the process used in competitive, negotiated contracting to select the proposal that offers the best value to the Government.</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Advisory</w:t>
      </w:r>
      <w:r>
        <w:rPr>
          <w:rFonts w:ascii="Times New Roman" w:hAnsi="Times New Roman"/>
          <w:color w:val="000000"/>
        </w:rPr>
        <w:t xml:space="preserve"> </w:t>
      </w:r>
      <w:r>
        <w:rPr>
          <w:rFonts w:ascii="Times New Roman" w:hAnsi="Times New Roman"/>
          <w:b/>
          <w:i/>
          <w:color w:val="000000"/>
        </w:rPr>
        <w:t>Council</w:t>
      </w:r>
      <w:r>
        <w:rPr>
          <w:rFonts w:ascii="Times New Roman" w:hAnsi="Times New Roman"/>
          <w:color w:val="000000"/>
        </w:rPr>
        <w:t>is a group of senior Government personnel, appointed by the SSA, that provides counsel during the source selection process, prepares the comparative analysis of the SSEB's final evaluation results, and makes an award recommendation to the SSA.</w:t>
      </w:r>
    </w:p>
    <w:p>
      <w:pPr>
        <w:pBdr>
          <w:top w:space="5"/>
          <w:left w:space="5"/>
          <w:bottom w:space="5"/>
          <w:right w:space="5"/>
        </w:pBdr>
        <w:spacing w:after="0"/>
        <w:ind w:left="225"/>
        <w:jc w:val="left"/>
      </w:pPr>
      <w:r>
        <w:rPr>
          <w:rFonts w:ascii="Times New Roman" w:hAnsi="Times New Roman"/>
          <w:b/>
          <w:i/>
          <w:color w:val="000000"/>
          <w:sz w:val="22"/>
        </w:rPr>
        <w:t>Source Selection Authority</w:t>
      </w:r>
      <w:r>
        <w:rPr>
          <w:rFonts w:ascii="Times New Roman" w:hAnsi="Times New Roman"/>
          <w:b w:val="false"/>
          <w:i w:val="false"/>
          <w:color w:val="000000"/>
          <w:sz w:val="22"/>
        </w:rPr>
        <w:t xml:space="preserve"> is the official designated to make the source selection decision.</w:t>
      </w:r>
    </w:p>
    <w:p>
      <w:pPr>
        <w:pBdr>
          <w:top w:space="5"/>
          <w:left w:space="5"/>
          <w:bottom w:space="5"/>
          <w:right w:space="5"/>
        </w:pBdr>
        <w:spacing w:after="0"/>
        <w:ind w:left="225"/>
        <w:jc w:val="left"/>
      </w:pPr>
      <w:r>
        <w:rPr>
          <w:rFonts w:ascii="Times New Roman" w:hAnsi="Times New Roman"/>
          <w:b/>
          <w:i/>
          <w:color w:val="000000"/>
          <w:sz w:val="22"/>
        </w:rPr>
        <w:t>Source Selection Decision Document</w:t>
      </w:r>
      <w:r>
        <w:rPr>
          <w:rFonts w:ascii="Times New Roman" w:hAnsi="Times New Roman"/>
          <w:b w:val="false"/>
          <w:i w:val="false"/>
          <w:color w:val="000000"/>
          <w:sz w:val="22"/>
        </w:rPr>
        <w:t xml:space="preserve"> is the document that reflects the SSA's independent, integrated, comparative assessment and decision.</w:t>
      </w:r>
    </w:p>
    <w:p>
      <w:pPr>
        <w:pBdr>
          <w:top w:space="5"/>
          <w:left w:space="5"/>
          <w:bottom w:space="5"/>
          <w:right w:space="5"/>
        </w:pBdr>
        <w:spacing w:after="0"/>
        <w:ind w:left="225"/>
        <w:jc w:val="left"/>
      </w:pPr>
      <w:r>
        <w:rPr>
          <w:rFonts w:ascii="Times New Roman" w:hAnsi="Times New Roman"/>
          <w:b/>
          <w:i/>
          <w:color w:val="000000"/>
          <w:sz w:val="22"/>
        </w:rPr>
        <w:t>Source Selection Evaluation Board</w:t>
      </w:r>
      <w:r>
        <w:rPr>
          <w:rFonts w:ascii="Times New Roman" w:hAnsi="Times New Roman"/>
          <w:b w:val="false"/>
          <w:i w:val="false"/>
          <w:color w:val="000000"/>
          <w:sz w:val="22"/>
        </w:rPr>
        <w:t xml:space="preserve"> is a group of individuals representing the various functional disciplines relevant to the acquisition, and is responsible for evaluating proposals against the solicitation criteria.</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Information</w:t>
      </w:r>
      <w:r>
        <w:rPr>
          <w:rFonts w:ascii="Times New Roman" w:hAnsi="Times New Roman"/>
          <w:color w:val="000000"/>
        </w:rPr>
        <w:t>is information prepared for use by an agency for the purpose of evaluating a bid or proposal to enter into an agency procurement contract, if that information has not been previously made available to the public or disclosed publicly. See FAR 2.101 for a listing of source selection information.</w:t>
      </w:r>
    </w:p>
    <w:p>
      <w:pPr>
        <w:pBdr>
          <w:top w:space="5"/>
          <w:left w:space="5"/>
          <w:bottom w:space="5"/>
          <w:right w:space="5"/>
        </w:pBdr>
        <w:spacing w:after="0"/>
        <w:ind w:left="225"/>
        <w:jc w:val="left"/>
      </w:pPr>
      <w:r>
        <w:rPr>
          <w:rFonts w:ascii="Times New Roman" w:hAnsi="Times New Roman"/>
          <w:b/>
          <w:i/>
          <w:color w:val="000000"/>
          <w:sz w:val="22"/>
        </w:rPr>
        <w:t>Source Selection Plan</w:t>
      </w:r>
      <w:r>
        <w:rPr>
          <w:rFonts w:ascii="Times New Roman" w:hAnsi="Times New Roman"/>
          <w:b w:val="false"/>
          <w:i w:val="false"/>
          <w:color w:val="000000"/>
          <w:sz w:val="22"/>
        </w:rPr>
        <w:t xml:space="preserve"> </w:t>
      </w:r>
      <w:r>
        <w:rPr>
          <w:rFonts w:ascii="Times New Roman" w:hAnsi="Times New Roman"/>
          <w:b w:val="false"/>
          <w:i w:val="false"/>
          <w:color w:val="000000"/>
          <w:sz w:val="22"/>
        </w:rPr>
        <w:t>is a plan that describes how the source selection will be organized, how proposals will be evaluated and analyzed, and how source(s) will be selected.</w:t>
      </w:r>
    </w:p>
    <w:p>
      <w:pPr>
        <w:pBdr>
          <w:top w:space="5"/>
          <w:left w:space="5"/>
          <w:bottom w:space="5"/>
          <w:right w:space="5"/>
        </w:pBdr>
        <w:spacing w:after="0"/>
        <w:ind w:left="225"/>
        <w:jc w:val="left"/>
      </w:pPr>
      <w:r>
        <w:rPr>
          <w:rFonts w:ascii="Times New Roman" w:hAnsi="Times New Roman"/>
          <w:b/>
          <w:i/>
          <w:color w:val="000000"/>
          <w:sz w:val="22"/>
        </w:rPr>
        <w:t>Source</w:t>
      </w:r>
      <w:r>
        <w:rPr>
          <w:rFonts w:ascii="Times New Roman" w:hAnsi="Times New Roman"/>
          <w:b w:val="false"/>
          <w:i w:val="false"/>
          <w:color w:val="000000"/>
          <w:sz w:val="22"/>
        </w:rPr>
        <w:t xml:space="preserve"> </w:t>
      </w:r>
      <w:r>
        <w:rPr>
          <w:rFonts w:ascii="Times New Roman" w:hAnsi="Times New Roman"/>
          <w:b/>
          <w:i/>
          <w:color w:val="000000"/>
          <w:sz w:val="22"/>
        </w:rPr>
        <w:t>S</w:t>
      </w:r>
      <w:r>
        <w:rPr>
          <w:rFonts w:ascii="Times New Roman" w:hAnsi="Times New Roman"/>
          <w:b/>
          <w:i/>
          <w:color w:val="000000"/>
          <w:sz w:val="22"/>
        </w:rPr>
        <w:t>election</w:t>
      </w:r>
      <w:r>
        <w:rPr>
          <w:rFonts w:ascii="Times New Roman" w:hAnsi="Times New Roman"/>
          <w:b w:val="false"/>
          <w:i w:val="false"/>
          <w:color w:val="000000"/>
          <w:sz w:val="22"/>
        </w:rPr>
        <w:t xml:space="preserve"> </w:t>
      </w:r>
      <w:r>
        <w:rPr>
          <w:rFonts w:ascii="Times New Roman" w:hAnsi="Times New Roman"/>
          <w:b/>
          <w:i/>
          <w:color w:val="000000"/>
          <w:sz w:val="22"/>
        </w:rPr>
        <w:t>P</w:t>
      </w:r>
      <w:r>
        <w:rPr>
          <w:rFonts w:ascii="Times New Roman" w:hAnsi="Times New Roman"/>
          <w:b/>
          <w:i/>
          <w:color w:val="000000"/>
          <w:sz w:val="22"/>
        </w:rPr>
        <w:t>rocedures</w:t>
      </w:r>
      <w:r>
        <w:rPr>
          <w:rFonts w:ascii="Times New Roman" w:hAnsi="Times New Roman"/>
          <w:b w:val="false"/>
          <w:i w:val="false"/>
          <w:color w:val="000000"/>
          <w:sz w:val="22"/>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pPr>
        <w:pBdr>
          <w:top w:space="5"/>
          <w:left w:space="5"/>
          <w:bottom w:space="5"/>
          <w:right w:space="5"/>
        </w:pBdr>
        <w:spacing w:after="0"/>
        <w:ind w:left="225"/>
        <w:jc w:val="left"/>
      </w:pPr>
      <w:r>
        <w:rPr>
          <w:rFonts w:ascii="Times New Roman" w:hAnsi="Times New Roman"/>
          <w:b/>
          <w:i/>
          <w:color w:val="000000"/>
          <w:sz w:val="22"/>
        </w:rPr>
        <w:t>Source Selection Team</w:t>
      </w:r>
      <w:r>
        <w:rPr>
          <w:rFonts w:ascii="Times New Roman" w:hAnsi="Times New Roman"/>
          <w:b w:val="false"/>
          <w:i w:val="false"/>
          <w:color w:val="000000"/>
          <w:sz w:val="22"/>
        </w:rPr>
        <w:t xml:space="preserve"> 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w:t>
      </w:r>
    </w:p>
    <w:p>
      <w:pPr>
        <w:pBdr>
          <w:top w:space="5"/>
          <w:left w:space="5"/>
          <w:bottom w:space="5"/>
          <w:right w:space="5"/>
        </w:pBdr>
        <w:spacing w:after="0"/>
        <w:ind w:left="225"/>
        <w:jc w:val="left"/>
      </w:pPr>
      <w:r>
        <w:rPr>
          <w:rFonts w:ascii="Times New Roman" w:hAnsi="Times New Roman"/>
          <w:b/>
          <w:i/>
          <w:color w:val="000000"/>
          <w:sz w:val="22"/>
        </w:rPr>
        <w:t>Standard of Proof</w:t>
      </w:r>
      <w:r>
        <w:rPr>
          <w:rFonts w:ascii="Times New Roman" w:hAnsi="Times New Roman"/>
          <w:b w:val="false"/>
          <w:i w:val="false"/>
          <w:color w:val="000000"/>
          <w:sz w:val="22"/>
        </w:rPr>
        <w:t xml:space="preserve"> is the evidence or standard by which the Government (evaluator) determines whether an Offeror has complied with the Government’s stated requirement.</w:t>
      </w:r>
    </w:p>
    <w:p>
      <w:pPr>
        <w:pBdr>
          <w:top w:space="5"/>
          <w:left w:space="5"/>
          <w:bottom w:space="5"/>
          <w:right w:space="5"/>
        </w:pBdr>
        <w:spacing w:after="0"/>
        <w:ind w:left="225"/>
        <w:jc w:val="left"/>
      </w:pPr>
      <w:r>
        <w:rPr>
          <w:rFonts w:ascii="Times New Roman" w:hAnsi="Times New Roman"/>
          <w:b/>
          <w:i/>
          <w:color w:val="000000"/>
          <w:sz w:val="22"/>
        </w:rPr>
        <w:t>Strength</w:t>
      </w:r>
      <w:r>
        <w:rPr>
          <w:rFonts w:ascii="Times New Roman" w:hAnsi="Times New Roman"/>
          <w:b w:val="false"/>
          <w:i w:val="false"/>
          <w:color w:val="000000"/>
          <w:sz w:val="22"/>
        </w:rPr>
        <w:t xml:space="preserve"> is an aspect of an Offeror’s proposal that has merit or exceeds specified performance or capability requirements in a way that will be advantageous to the Government during contract performance.</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val="false"/>
          <w:i w:val="false"/>
          <w:color w:val="000000"/>
          <w:sz w:val="22"/>
        </w:rPr>
        <w:t xml:space="preserve"> is a source selection process used when it may be in the best interest of the Government to consider award to other than the lowest priced Offeror or other than the highest technically rated Offeror but it is not possible to place a quantifiable value on proposed performance or capabilities above threshold (minimum) requirements (see DOD Source Selection Procedures paragraph 1.3.1.3.</w:t>
      </w:r>
    </w:p>
    <w:p>
      <w:pPr>
        <w:pBdr>
          <w:top w:space="5"/>
          <w:left w:space="5"/>
          <w:bottom w:space="5"/>
          <w:right w:space="5"/>
        </w:pBdr>
        <w:spacing w:after="0"/>
        <w:ind w:left="225"/>
        <w:jc w:val="left"/>
      </w:pPr>
      <w:r>
        <w:rPr>
          <w:rFonts w:ascii="Times New Roman" w:hAnsi="Times New Roman"/>
          <w:b/>
          <w:i/>
          <w:color w:val="000000"/>
          <w:sz w:val="22"/>
        </w:rPr>
        <w:t>Terms and Conditions Concerns</w:t>
      </w:r>
      <w:r>
        <w:rPr>
          <w:rFonts w:ascii="Times New Roman" w:hAnsi="Times New Roman"/>
          <w:b w:val="false"/>
          <w:i w:val="false"/>
          <w:color w:val="000000"/>
          <w:sz w:val="22"/>
        </w:rPr>
        <w:t xml:space="preserve"> are issues related to any of the contract provisions in the RFP.</w:t>
      </w:r>
    </w:p>
    <w:p>
      <w:pPr>
        <w:pStyle w:val="Normal"/>
        <w:pBdr>
          <w:top w:space="5"/>
          <w:left w:space="5"/>
          <w:bottom w:space="5"/>
          <w:right w:space="5"/>
        </w:pBdr>
        <w:spacing w:after="0"/>
        <w:ind w:left="225"/>
        <w:jc w:val="left"/>
      </w:pPr>
      <w:r>
        <w:rPr>
          <w:rFonts w:ascii="Times New Roman" w:hAnsi="Times New Roman"/>
          <w:b/>
          <w:i/>
          <w:color w:val="000000"/>
        </w:rPr>
        <w:t>Threshold (or Threshold (minimum)) as used in this document)</w:t>
      </w:r>
      <w:r>
        <w:rPr>
          <w:rFonts w:ascii="Times New Roman" w:hAnsi="Times New Roman"/>
          <w:color w:val="000000"/>
        </w:rPr>
        <w:t xml:space="preserve"> is the minimum acceptable value of an attribute that is considered achievable within the available cost, schedule, and technology at low-to-moderate risk. Performance below the threshold value is not operationally effective or suitable or may not provide an improvement over current capabilities. (See also “mandatory minimums” in FAR 15.306(d)(4).)</w:t>
      </w:r>
    </w:p>
    <w:p>
      <w:pPr>
        <w:pStyle w:val="Normal"/>
        <w:pBdr>
          <w:top w:space="5"/>
          <w:left w:space="5"/>
          <w:bottom w:space="5"/>
          <w:right w:space="5"/>
        </w:pBdr>
        <w:spacing w:after="0"/>
        <w:ind w:left="225"/>
        <w:jc w:val="left"/>
      </w:pPr>
      <w:r>
        <w:rPr>
          <w:rFonts w:ascii="Times New Roman" w:hAnsi="Times New Roman"/>
          <w:b/>
          <w:i/>
          <w:color w:val="000000"/>
        </w:rPr>
        <w:t>Tradeoff Process</w:t>
      </w:r>
      <w:r>
        <w:rPr>
          <w:rFonts w:ascii="Times New Roman" w:hAnsi="Times New Roman"/>
          <w:color w:val="000000"/>
        </w:rPr>
        <w:t xml:space="preserve"> 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w:t>
      </w:r>
    </w:p>
    <w:p>
      <w:pPr>
        <w:pBdr>
          <w:top w:space="5"/>
          <w:left w:space="5"/>
          <w:bottom w:space="5"/>
          <w:right w:space="5"/>
        </w:pBdr>
        <w:spacing w:after="0"/>
        <w:ind w:left="225"/>
        <w:jc w:val="left"/>
      </w:pPr>
      <w:r>
        <w:rPr>
          <w:rFonts w:ascii="Times New Roman" w:hAnsi="Times New Roman"/>
          <w:b/>
          <w:i/>
          <w:color w:val="000000"/>
          <w:sz w:val="22"/>
        </w:rPr>
        <w:t>Uncertainty</w:t>
      </w:r>
      <w:r>
        <w:rPr>
          <w:rFonts w:ascii="Times New Roman" w:hAnsi="Times New Roman"/>
          <w:b w:val="false"/>
          <w:i w:val="false"/>
          <w:color w:val="000000"/>
          <w:sz w:val="22"/>
        </w:rPr>
        <w:t xml:space="preserve"> is any aspect of a non-cost/price factor proposal for which the intent of the offer is unclear (e.g. more than one way to interpret the offer or inconsistencies in the proposal indicating that there may have been an error, omission, or mistake).</w:t>
      </w:r>
    </w:p>
    <w:p>
      <w:pPr>
        <w:pStyle w:val="Normal"/>
        <w:pBdr>
          <w:top w:space="5"/>
          <w:left w:space="5"/>
          <w:bottom w:space="5"/>
          <w:right w:space="5"/>
        </w:pBdr>
        <w:spacing w:after="0"/>
        <w:ind w:left="225"/>
        <w:jc w:val="left"/>
      </w:pPr>
      <w:r>
        <w:rPr>
          <w:rFonts w:ascii="Times New Roman" w:hAnsi="Times New Roman"/>
          <w:b/>
          <w:i/>
          <w:color w:val="000000"/>
        </w:rPr>
        <w:t>Value Adjusted Total Evaluated Price</w:t>
      </w:r>
      <w:r>
        <w:rPr>
          <w:rFonts w:ascii="Times New Roman" w:hAnsi="Times New Roman"/>
          <w:color w:val="000000"/>
        </w:rPr>
        <w:t xml:space="preserve"> is a tradeoff source selection process where the Offeror’s total proposed price may be adjusted based on the “value” placed on better performance as identified in the RFP. The SSA must then determine if a higher rated technical offer is “worth” the additional cost to the Government.</w:t>
      </w:r>
    </w:p>
    <w:p>
      <w:pPr>
        <w:pBdr>
          <w:top w:space="5"/>
          <w:left w:space="5"/>
          <w:bottom w:space="5"/>
          <w:right w:space="5"/>
        </w:pBdr>
        <w:spacing w:after="0"/>
        <w:ind w:left="225"/>
        <w:jc w:val="left"/>
      </w:pPr>
      <w:r>
        <w:rPr>
          <w:rFonts w:ascii="Times New Roman" w:hAnsi="Times New Roman"/>
          <w:b/>
          <w:i/>
          <w:color w:val="000000"/>
          <w:sz w:val="22"/>
        </w:rPr>
        <w:t>Weakness</w:t>
      </w:r>
      <w:r>
        <w:rPr>
          <w:rFonts w:ascii="Times New Roman" w:hAnsi="Times New Roman"/>
          <w:b w:val="false"/>
          <w:i w:val="false"/>
          <w:color w:val="000000"/>
          <w:sz w:val="22"/>
        </w:rPr>
        <w:t xml:space="preserve"> is a flaw in the proposal that increases the risk of unsuccessful contract performance. See FAR 15.001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