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**ID__AFARS_APPENDIX-AA_Chapter-5_APPENDIX-A_A-1__ID**</w:t>
      </w:r>
    </w:p>
    <w:p>
      <w:pPr>
        <w:pStyle w:val="Heading4"/>
        <w:spacing w:after="269"/>
        <w:ind w:left="120"/>
        <w:jc w:val="left"/>
      </w:pPr>
      <w:r>
        <w:rPr>
          <w:rFonts w:ascii="Times New Roman" w:hAnsi="Times New Roman"/>
          <w:i w:val="false"/>
          <w:color w:val="000000"/>
          <w:sz w:val="31"/>
        </w:rPr>
        <w:t>A-1</w:t>
      </w:r>
      <w:r>
        <w:rPr>
          <w:rFonts w:ascii="Times New Roman" w:hAnsi="Times New Roman"/>
          <w:i w:val="false"/>
          <w:color w:val="000000"/>
          <w:sz w:val="31"/>
        </w:rPr>
        <w:t xml:space="preserve"> Debriefing Guide</w:t>
      </w:r>
    </w:p>
    <w:p>
      <w:pPr>
        <w:pBdr>
          <w:top w:space="5"/>
          <w:left w:space="5"/>
          <w:bottom w:space="5"/>
          <w:right w:space="5"/>
        </w:pBdr>
        <w:spacing w:after="0"/>
        <w:ind w:left="225"/>
        <w:jc w:val="left"/>
      </w:pPr>
      <w:r>
        <w:rPr>
          <w:rFonts w:ascii="Times New Roman" w:hAnsi="Times New Roman"/>
          <w:b/>
          <w:i/>
          <w:color w:val="000000"/>
          <w:sz w:val="22"/>
        </w:rPr>
        <w:t>A-1 Purpose of Debriefing</w:t>
      </w:r>
    </w:p>
    <w:p>
      <w:pPr>
        <w:pBdr>
          <w:top w:space="5"/>
          <w:left w:space="5"/>
          <w:bottom w:space="5"/>
          <w:right w:space="5"/>
        </w:pBdr>
        <w:spacing w:after="0"/>
        <w:ind w:left="225"/>
        <w:jc w:val="left"/>
      </w:pPr>
      <w:r>
        <w:rPr>
          <w:rFonts w:ascii="Times New Roman" w:hAnsi="Times New Roman"/>
          <w:b/>
          <w:i/>
          <w:color w:val="000000"/>
          <w:sz w:val="22"/>
        </w:rPr>
        <w:t>Constructive Communication with Industry</w:t>
      </w:r>
    </w:p>
    <w:p>
      <w:pPr>
        <w:pBdr>
          <w:top w:space="5"/>
          <w:left w:space="5"/>
          <w:bottom w:space="5"/>
          <w:right w:space="5"/>
        </w:pBdr>
        <w:spacing w:after="0"/>
        <w:ind w:left="225"/>
        <w:jc w:val="left"/>
      </w:pPr>
      <w:r>
        <w:rPr>
          <w:rFonts w:ascii="Times New Roman" w:hAnsi="Times New Roman"/>
          <w:b w:val="false"/>
          <w:i w:val="false"/>
          <w:color w:val="000000"/>
          <w:sz w:val="22"/>
        </w:rPr>
        <w:t>Transparency, to the extent allowable by applicable regulations and laws,</w:t>
      </w:r>
      <w:r>
        <w:rPr>
          <w:rFonts w:ascii="Times New Roman" w:hAnsi="Times New Roman"/>
          <w:b/>
          <w:i/>
          <w:color w:val="000000"/>
          <w:sz w:val="22"/>
        </w:rPr>
        <w:t>throughout the process</w:t>
      </w:r>
      <w:r>
        <w:rPr>
          <w:rFonts w:ascii="Times New Roman" w:hAnsi="Times New Roman"/>
          <w:b w:val="false"/>
          <w:i w:val="false"/>
          <w:color w:val="000000"/>
          <w:sz w:val="22"/>
        </w:rPr>
        <w:t xml:space="preserve"> can help to build trust and confidence on the part of offerors regarding the treatment of their proposal and the source selection decision outcome.</w:t>
      </w:r>
    </w:p>
    <w:p>
      <w:pPr>
        <w:pBdr>
          <w:top w:space="5"/>
          <w:left w:space="5"/>
          <w:bottom w:space="5"/>
          <w:right w:space="5"/>
        </w:pBdr>
        <w:spacing w:after="0"/>
        <w:ind w:left="225"/>
        <w:jc w:val="left"/>
      </w:pPr>
      <w:r>
        <w:rPr>
          <w:rFonts w:ascii="Times New Roman" w:hAnsi="Times New Roman"/>
          <w:b w:val="false"/>
          <w:i w:val="false"/>
          <w:color w:val="000000"/>
          <w:sz w:val="22"/>
        </w:rPr>
        <w:t>Unsuccessful offerors are sometimes able to accept negative findings in a debriefing if they perceive that the Government acted with fairness, consistency, objectivity, and in accordance with the evaluation criteria described in the RFP.</w:t>
      </w:r>
    </w:p>
    <w:p>
      <w:pPr>
        <w:pBdr>
          <w:top w:space="5"/>
          <w:left w:space="5"/>
          <w:bottom w:space="5"/>
          <w:right w:space="5"/>
        </w:pBdr>
        <w:spacing w:after="0"/>
        <w:ind w:left="225"/>
        <w:jc w:val="left"/>
      </w:pPr>
      <w:r>
        <w:rPr>
          <w:rFonts w:ascii="Times New Roman" w:hAnsi="Times New Roman"/>
          <w:b/>
          <w:i/>
          <w:color w:val="000000"/>
          <w:sz w:val="22"/>
        </w:rPr>
        <w:t>A-2 Requirements</w:t>
      </w:r>
    </w:p>
    <w:p>
      <w:pPr>
        <w:pBdr>
          <w:top w:space="5"/>
          <w:left w:space="5"/>
          <w:bottom w:space="5"/>
          <w:right w:space="5"/>
        </w:pBdr>
        <w:spacing w:after="0"/>
        <w:ind w:left="225"/>
        <w:jc w:val="left"/>
      </w:pPr>
      <w:r>
        <w:rPr>
          <w:rFonts w:ascii="Times New Roman" w:hAnsi="Times New Roman"/>
          <w:b w:val="false"/>
          <w:i w:val="false"/>
          <w:color w:val="000000"/>
          <w:sz w:val="22"/>
        </w:rPr>
        <w:t>Figure A-1 below provides a comprehensive side-by-side comparison of the requirements for preaward and postaward debriefings.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13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PREAWARD DEBRIEFING</w:t>
            </w:r>
          </w:p>
          <w:p>
            <w:pPr>
              <w:pBdr>
                <w:top w:space="5"/>
                <w:left w:space="5"/>
                <w:bottom w:space="5"/>
                <w:right w:space="5"/>
              </w:pBdr>
              <w:spacing w:after="0"/>
              <w:ind w:left="240"/>
              <w:jc w:val="left"/>
            </w:pPr>
            <w:r>
              <w:rPr>
                <w:rFonts w:ascii="Times New Roman" w:hAnsi="Times New Roman"/>
                <w:b/>
                <w:i w:val="false"/>
                <w:color w:val="000000"/>
                <w:sz w:val="22"/>
              </w:rPr>
              <w:t>FAR 15.505</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POST</w:t>
            </w:r>
            <w:r>
              <w:rPr>
                <w:rFonts w:ascii="Times New Roman" w:hAnsi="Times New Roman"/>
                <w:b/>
                <w:i w:val="false"/>
                <w:color w:val="000000"/>
                <w:sz w:val="22"/>
              </w:rPr>
              <w:t>AWARD DEBRIEFING</w:t>
            </w:r>
          </w:p>
          <w:p>
            <w:pPr>
              <w:pBdr>
                <w:top w:space="5"/>
                <w:left w:space="5"/>
                <w:bottom w:space="5"/>
                <w:right w:space="5"/>
              </w:pBdr>
              <w:spacing w:after="0"/>
              <w:ind w:left="240"/>
              <w:jc w:val="left"/>
            </w:pPr>
            <w:r>
              <w:rPr>
                <w:rFonts w:ascii="Times New Roman" w:hAnsi="Times New Roman"/>
                <w:b/>
                <w:i w:val="false"/>
                <w:color w:val="000000"/>
                <w:sz w:val="22"/>
              </w:rPr>
              <w:t>FAR 15.506</w:t>
            </w:r>
          </w:p>
        </w:tc>
      </w:tr>
      <w:tr>
        <w:trPr>
          <w:trHeight w:val="183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Who is Entitled to a Debriefing?</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Offerors excluded from the competitive range or otherwise excluded from the competition before award.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unsuccessful Offeror who has not had a preaward debriefing.</w:t>
            </w:r>
          </w:p>
          <w:p>
            <w:pPr>
              <w:pBdr>
                <w:top w:space="5"/>
                <w:left w:space="5"/>
                <w:bottom w:space="5"/>
                <w:right w:space="5"/>
              </w:pBdr>
              <w:spacing w:after="0"/>
              <w:ind w:left="240"/>
              <w:jc w:val="left"/>
            </w:pPr>
            <w:r>
              <w:rPr>
                <w:rFonts w:ascii="Times New Roman" w:hAnsi="Times New Roman"/>
                <w:b/>
                <w:i/>
                <w:color w:val="000000"/>
                <w:sz w:val="22"/>
              </w:rPr>
              <w:t>A successful offeror may also be provided a debriefing.</w:t>
            </w:r>
          </w:p>
        </w:tc>
      </w:tr>
      <w:tr>
        <w:trPr>
          <w:trHeight w:val="241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When Must the Government Conduct a Debriefing?</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 soon as practicable after receipt of a timely, written request. However, the PCO may refuse the request for a preaward debriefing if it is not in the best interest of the Government to conduct a preaward debriefing.(1) (2)</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five days, to the maximum extent practicable, after receipt of a timely, written request for a debriefing. (3)</w:t>
            </w:r>
          </w:p>
        </w:tc>
      </w:tr>
      <w:tr>
        <w:trPr>
          <w:trHeight w:val="16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is a Timely Request?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request received by the contracting activity within 3 calendar days after the offeror received notice of exclusion from the competition. (4)</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request received by the contracting activity within 3 calendar days after the offeror received notice of contract award. (4)</w:t>
            </w:r>
          </w:p>
        </w:tc>
      </w:tr>
      <w:tr>
        <w:trPr>
          <w:trHeight w:val="678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Can Not Be Disclosed?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1"/>
              </w:numPr>
              <w:spacing w:after="0"/>
              <w:ind w:left="845" w:hanging="360"/>
              <w:jc w:val="left"/>
            </w:pPr>
            <w:r>
              <w:rPr>
                <w:rFonts w:ascii="Times New Roman" w:hAnsi="Times New Roman"/>
                <w:b w:val="false"/>
                <w:i w:val="false"/>
                <w:color w:val="000000"/>
                <w:sz w:val="22"/>
              </w:rPr>
              <w:t>Number of offerors</w:t>
            </w:r>
          </w:p>
          <w:p>
            <w:pPr>
              <w:numPr>
                <w:ilvl w:val="0"/>
                <w:numId w:val="1"/>
              </w:numPr>
              <w:spacing w:after="0"/>
              <w:ind w:left="845" w:hanging="360"/>
              <w:jc w:val="left"/>
            </w:pPr>
            <w:r>
              <w:rPr>
                <w:rFonts w:ascii="Times New Roman" w:hAnsi="Times New Roman"/>
                <w:b w:val="false"/>
                <w:i w:val="false"/>
                <w:color w:val="000000"/>
                <w:sz w:val="22"/>
              </w:rPr>
              <w:t>Identity of other offerors</w:t>
            </w:r>
          </w:p>
          <w:p>
            <w:pPr>
              <w:numPr>
                <w:ilvl w:val="0"/>
                <w:numId w:val="1"/>
              </w:numPr>
              <w:spacing w:after="0"/>
              <w:ind w:left="845" w:hanging="360"/>
              <w:jc w:val="left"/>
            </w:pPr>
            <w:r>
              <w:rPr>
                <w:rFonts w:ascii="Times New Roman" w:hAnsi="Times New Roman"/>
                <w:b w:val="false"/>
                <w:i w:val="false"/>
                <w:color w:val="000000"/>
                <w:sz w:val="22"/>
              </w:rPr>
              <w:t>Content of other offerors‘ proposals</w:t>
            </w:r>
          </w:p>
          <w:p>
            <w:pPr>
              <w:numPr>
                <w:ilvl w:val="0"/>
                <w:numId w:val="1"/>
              </w:numPr>
              <w:spacing w:after="0"/>
              <w:ind w:left="845" w:hanging="360"/>
              <w:jc w:val="left"/>
            </w:pPr>
            <w:r>
              <w:rPr>
                <w:rFonts w:ascii="Times New Roman" w:hAnsi="Times New Roman"/>
                <w:b w:val="false"/>
                <w:i w:val="false"/>
                <w:color w:val="000000"/>
                <w:sz w:val="22"/>
              </w:rPr>
              <w:t>Ranking of other offerors</w:t>
            </w:r>
          </w:p>
          <w:p>
            <w:pPr>
              <w:numPr>
                <w:ilvl w:val="0"/>
                <w:numId w:val="1"/>
              </w:numPr>
              <w:spacing w:after="0"/>
              <w:ind w:left="845" w:hanging="360"/>
              <w:jc w:val="left"/>
            </w:pPr>
            <w:r>
              <w:rPr>
                <w:rFonts w:ascii="Times New Roman" w:hAnsi="Times New Roman"/>
                <w:b w:val="false"/>
                <w:i w:val="false"/>
                <w:color w:val="000000"/>
                <w:sz w:val="22"/>
              </w:rPr>
              <w:t>Evaluation of other offerors</w:t>
            </w:r>
          </w:p>
          <w:p>
            <w:pPr>
              <w:numPr>
                <w:ilvl w:val="0"/>
                <w:numId w:val="1"/>
              </w:numPr>
              <w:spacing w:after="0"/>
              <w:ind w:left="845" w:hanging="360"/>
              <w:jc w:val="left"/>
            </w:pPr>
            <w:r>
              <w:rPr>
                <w:rFonts w:ascii="Times New Roman" w:hAnsi="Times New Roman"/>
                <w:b w:val="false"/>
                <w:i w:val="false"/>
                <w:color w:val="000000"/>
                <w:sz w:val="22"/>
              </w:rPr>
              <w:t>Point-by-point comparisons of a debriefed offeror’s proposal with other proposals</w:t>
            </w:r>
          </w:p>
          <w:p>
            <w:pPr>
              <w:pBdr>
                <w:top w:space="5"/>
                <w:left w:space="5"/>
                <w:bottom w:space="5"/>
                <w:right w:space="5"/>
              </w:pBdr>
              <w:spacing w:after="0"/>
              <w:ind w:left="240"/>
              <w:jc w:val="left"/>
            </w:pPr>
            <w:r>
              <w:rPr>
                <w:rFonts w:ascii="Times New Roman" w:hAnsi="Times New Roman"/>
                <w:b w:val="false"/>
                <w:i w:val="false"/>
                <w:color w:val="000000"/>
                <w:sz w:val="22"/>
              </w:rPr>
              <w:t>Information prohibited from disclosure by FAR 24.202 or information exempt from release under the FOIA (5)</w:t>
            </w:r>
          </w:p>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2"/>
              </w:numPr>
              <w:spacing w:after="0"/>
              <w:ind w:left="845" w:hanging="360"/>
              <w:jc w:val="left"/>
            </w:pPr>
            <w:r>
              <w:rPr>
                <w:rFonts w:ascii="Times New Roman" w:hAnsi="Times New Roman"/>
                <w:b w:val="false"/>
                <w:i w:val="false"/>
                <w:color w:val="000000"/>
                <w:sz w:val="22"/>
              </w:rPr>
              <w:t>Point-by-point comparisons of a debriefed offeror’s proposal with other proposals. (The ratings of a debriefed offeror and the awardee may be disclosed to the subfactor level without violating this principle.)</w:t>
            </w:r>
          </w:p>
          <w:p>
            <w:pPr>
              <w:numPr>
                <w:ilvl w:val="0"/>
                <w:numId w:val="2"/>
              </w:numPr>
              <w:spacing w:after="0"/>
              <w:ind w:left="845" w:hanging="360"/>
              <w:jc w:val="left"/>
            </w:pPr>
            <w:r>
              <w:rPr>
                <w:rFonts w:ascii="Times New Roman" w:hAnsi="Times New Roman"/>
                <w:b w:val="false"/>
                <w:i w:val="false"/>
                <w:color w:val="000000"/>
                <w:sz w:val="22"/>
              </w:rPr>
              <w:t>Information prohibited from disclosure by FAR 24.202, or information exempt from release under the FOIA. (5)</w:t>
            </w:r>
          </w:p>
          <w:p>
            <w:pPr>
              <w:pBdr>
                <w:top w:space="5"/>
                <w:left w:space="5"/>
                <w:bottom w:space="5"/>
                <w:right w:space="5"/>
              </w:pBdr>
              <w:spacing w:after="0"/>
              <w:ind w:left="240"/>
              <w:jc w:val="left"/>
            </w:pP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Legal counsel must be consulted if there is</w:t>
            </w:r>
            <w:r>
              <w:rPr>
                <w:rFonts w:ascii="Times New Roman" w:hAnsi="Times New Roman"/>
                <w:b/>
                <w:i/>
                <w:color w:val="000000"/>
                <w:sz w:val="22"/>
                <w:u w:val="single"/>
              </w:rPr>
              <w:t>any</w:t>
            </w:r>
            <w:r>
              <w:rPr>
                <w:rFonts w:ascii="Times New Roman" w:hAnsi="Times New Roman"/>
                <w:b/>
                <w:i w:val="false"/>
                <w:color w:val="000000"/>
                <w:sz w:val="22"/>
              </w:rPr>
              <w:t>question regarding the releaseability of information</w:t>
            </w:r>
          </w:p>
        </w:tc>
      </w:tr>
      <w:tr>
        <w:trPr>
          <w:trHeight w:val="1450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What Should Be Discussed?</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3"/>
              </w:numPr>
              <w:spacing w:after="0"/>
              <w:ind w:left="845" w:hanging="360"/>
              <w:jc w:val="left"/>
            </w:pPr>
            <w:r>
              <w:rPr>
                <w:rFonts w:ascii="Times New Roman" w:hAnsi="Times New Roman"/>
                <w:b w:val="false"/>
                <w:i w:val="false"/>
                <w:color w:val="000000"/>
                <w:sz w:val="22"/>
              </w:rPr>
              <w:t>The agency’s evaluation of significant elements in the offeror’s proposal (6);</w:t>
            </w:r>
          </w:p>
          <w:p>
            <w:pPr>
              <w:numPr>
                <w:ilvl w:val="0"/>
                <w:numId w:val="3"/>
              </w:numPr>
              <w:spacing w:after="0"/>
              <w:ind w:left="845" w:hanging="360"/>
              <w:jc w:val="left"/>
            </w:pPr>
            <w:r>
              <w:rPr>
                <w:rFonts w:ascii="Times New Roman" w:hAnsi="Times New Roman"/>
                <w:b w:val="false"/>
                <w:i w:val="false"/>
                <w:color w:val="000000"/>
                <w:sz w:val="22"/>
              </w:rPr>
              <w:t>A summary of the rationale for eliminating the offeror from the competition;</w:t>
            </w:r>
          </w:p>
          <w:p>
            <w:pPr>
              <w:numPr>
                <w:ilvl w:val="0"/>
                <w:numId w:val="3"/>
              </w:numPr>
              <w:spacing w:after="0"/>
              <w:ind w:left="845" w:hanging="360"/>
              <w:jc w:val="left"/>
            </w:pPr>
            <w:r>
              <w:rPr>
                <w:rFonts w:ascii="Times New Roman" w:hAnsi="Times New Roman"/>
                <w:b w:val="false"/>
                <w:i w:val="false"/>
                <w:color w:val="000000"/>
                <w:sz w:val="22"/>
              </w:rPr>
              <w:t>Reasonable responses to relevant questions about whether source selection procedures contained in the RFP, applicable regulations, and other applicable authorities were followed in the process of eliminating the Offeror from the competition.</w:t>
            </w:r>
          </w:p>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p>
            <w:pPr>
              <w:numPr>
                <w:ilvl w:val="0"/>
                <w:numId w:val="4"/>
              </w:numPr>
              <w:spacing w:after="0"/>
              <w:ind w:left="845" w:hanging="360"/>
              <w:jc w:val="left"/>
            </w:pPr>
            <w:r>
              <w:rPr>
                <w:rFonts w:ascii="Times New Roman" w:hAnsi="Times New Roman"/>
                <w:b w:val="false"/>
                <w:i w:val="false"/>
                <w:color w:val="000000"/>
                <w:sz w:val="22"/>
              </w:rPr>
              <w:t>The Government’s evaluation of the significant weaknesses, weaknesses, or deficiencies in the offeror’s proposal, if applicable;</w:t>
            </w:r>
          </w:p>
          <w:p>
            <w:pPr>
              <w:numPr>
                <w:ilvl w:val="0"/>
                <w:numId w:val="4"/>
              </w:numPr>
              <w:spacing w:after="0"/>
              <w:ind w:left="845" w:hanging="360"/>
              <w:jc w:val="left"/>
            </w:pPr>
            <w:r>
              <w:rPr>
                <w:rFonts w:ascii="Times New Roman" w:hAnsi="Times New Roman"/>
                <w:b w:val="false"/>
                <w:i w:val="false"/>
                <w:color w:val="000000"/>
                <w:sz w:val="22"/>
              </w:rPr>
              <w:t>The overall evaluated cost/price (include unit prices only if releasable under FOIA, and DO NOT disclose the IGCE); technical rating, if applicable, of the successful offeror and the debriefed offeror; and past performance information on the debriefed offeror;</w:t>
            </w:r>
          </w:p>
          <w:p>
            <w:pPr>
              <w:numPr>
                <w:ilvl w:val="0"/>
                <w:numId w:val="4"/>
              </w:numPr>
              <w:spacing w:after="0"/>
              <w:ind w:left="845" w:hanging="360"/>
              <w:jc w:val="left"/>
            </w:pPr>
            <w:r>
              <w:rPr>
                <w:rFonts w:ascii="Times New Roman" w:hAnsi="Times New Roman"/>
                <w:b w:val="false"/>
                <w:i w:val="false"/>
                <w:color w:val="000000"/>
                <w:sz w:val="22"/>
              </w:rPr>
              <w:t>The overall ranking of all offerors, when any ranking was developed by the agency during the source selection;</w:t>
            </w:r>
          </w:p>
          <w:p>
            <w:pPr>
              <w:numPr>
                <w:ilvl w:val="0"/>
                <w:numId w:val="4"/>
              </w:numPr>
              <w:spacing w:after="0"/>
              <w:ind w:left="845" w:hanging="360"/>
              <w:jc w:val="left"/>
            </w:pPr>
            <w:r>
              <w:rPr>
                <w:rFonts w:ascii="Times New Roman" w:hAnsi="Times New Roman"/>
                <w:b w:val="false"/>
                <w:i w:val="false"/>
                <w:color w:val="000000"/>
                <w:sz w:val="22"/>
              </w:rPr>
              <w:t>A summary of the rationale for award;</w:t>
            </w:r>
          </w:p>
          <w:p>
            <w:pPr>
              <w:numPr>
                <w:ilvl w:val="0"/>
                <w:numId w:val="4"/>
              </w:numPr>
              <w:spacing w:after="0"/>
              <w:ind w:left="845" w:hanging="360"/>
              <w:jc w:val="left"/>
            </w:pPr>
            <w:r>
              <w:rPr>
                <w:rFonts w:ascii="Times New Roman" w:hAnsi="Times New Roman"/>
                <w:b w:val="false"/>
                <w:i w:val="false"/>
                <w:color w:val="000000"/>
                <w:sz w:val="22"/>
              </w:rPr>
              <w:t>For acquisitions of commercial items, the make and model of the item to be delivered by the successful offeror; and</w:t>
            </w:r>
          </w:p>
          <w:p>
            <w:pPr>
              <w:numPr>
                <w:ilvl w:val="0"/>
                <w:numId w:val="4"/>
              </w:numPr>
              <w:spacing w:after="0"/>
              <w:ind w:left="845" w:hanging="360"/>
              <w:jc w:val="left"/>
            </w:pPr>
            <w:r>
              <w:rPr>
                <w:rFonts w:ascii="Times New Roman" w:hAnsi="Times New Roman"/>
                <w:b w:val="false"/>
                <w:i w:val="false"/>
                <w:color w:val="000000"/>
                <w:sz w:val="22"/>
              </w:rPr>
              <w:t>Reasonable responses to relevant questions about whether source selection procedures contained in the RFP, applicable regulations, and other applicable authorities were followed.</w:t>
            </w:r>
          </w:p>
          <w:p>
            <w:pPr>
              <w:numPr>
                <w:ilvl w:val="0"/>
                <w:numId w:val="4"/>
              </w:numPr>
              <w:spacing w:after="0"/>
              <w:ind w:left="845" w:hanging="360"/>
              <w:jc w:val="left"/>
            </w:pPr>
            <w:r>
              <w:rPr>
                <w:rFonts w:ascii="Times New Roman" w:hAnsi="Times New Roman"/>
                <w:b w:val="false"/>
                <w:i w:val="false"/>
                <w:color w:val="000000"/>
                <w:sz w:val="22"/>
              </w:rPr>
              <w:t>Other information, as appropriate.</w:t>
            </w:r>
          </w:p>
          <w:p>
            <w:pPr>
              <w:pBdr>
                <w:top w:space="5"/>
                <w:left w:space="5"/>
                <w:bottom w:space="5"/>
                <w:right w:space="5"/>
              </w:pBdr>
              <w:spacing w:after="0"/>
              <w:ind w:left="240"/>
              <w:jc w:val="left"/>
            </w:pPr>
          </w:p>
        </w:tc>
      </w:tr>
    </w:tbl>
    <w:p>
      <w:pPr>
        <w:pBdr>
          <w:top w:space="5"/>
          <w:left w:space="5"/>
          <w:bottom w:space="5"/>
          <w:right w:space="5"/>
        </w:pBdr>
        <w:spacing w:after="0"/>
        <w:ind w:left="225"/>
        <w:jc w:val="center"/>
      </w:pPr>
      <w:r>
        <w:rPr>
          <w:rFonts w:ascii="Times New Roman" w:hAnsi="Times New Roman"/>
          <w:b w:val="false"/>
          <w:i/>
          <w:color w:val="000000"/>
          <w:sz w:val="22"/>
        </w:rPr>
        <w:t>Figure A-1: Comparison of Preaward and Postaward Debriefings</w:t>
      </w:r>
    </w:p>
    <w:p>
      <w:pPr>
        <w:pBdr>
          <w:top w:space="5"/>
          <w:left w:space="5"/>
          <w:bottom w:space="5"/>
          <w:right w:space="5"/>
        </w:pBdr>
        <w:spacing w:after="0"/>
        <w:ind w:left="225"/>
        <w:jc w:val="left"/>
      </w:pPr>
      <w:r>
        <w:rPr>
          <w:rFonts w:ascii="Times New Roman" w:hAnsi="Times New Roman"/>
          <w:b/>
          <w:i w:val="false"/>
          <w:color w:val="000000"/>
          <w:sz w:val="22"/>
        </w:rPr>
        <w:t>Notes to Figure A-1:</w:t>
      </w:r>
    </w:p>
    <w:p>
      <w:pPr>
        <w:pBdr>
          <w:top w:space="5"/>
          <w:left w:space="5"/>
          <w:bottom w:space="5"/>
          <w:right w:space="5"/>
        </w:pBdr>
        <w:spacing w:after="0"/>
        <w:ind w:left="585"/>
        <w:jc w:val="left"/>
      </w:pPr>
      <w:r>
        <w:rPr>
          <w:rFonts w:ascii="Times New Roman" w:hAnsi="Times New Roman"/>
          <w:b w:val="false"/>
          <w:i w:val="false"/>
          <w:color w:val="000000"/>
          <w:sz w:val="22"/>
        </w:rPr>
        <w:t>(1) The offeror may request the debriefing be delayed until after contract award. When delayed, the debriefing shall include all the information provided in a postaward debriefing.</w:t>
      </w:r>
    </w:p>
    <w:p>
      <w:pPr>
        <w:pBdr>
          <w:top w:space="5"/>
          <w:left w:space="5"/>
          <w:bottom w:space="5"/>
          <w:right w:space="5"/>
        </w:pBdr>
        <w:spacing w:after="0"/>
        <w:ind w:left="585"/>
        <w:jc w:val="left"/>
      </w:pPr>
      <w:r>
        <w:rPr>
          <w:rFonts w:ascii="Times New Roman" w:hAnsi="Times New Roman"/>
          <w:b w:val="false"/>
          <w:i w:val="false"/>
          <w:color w:val="000000"/>
          <w:sz w:val="22"/>
        </w:rPr>
        <w:t>(2)In the event either the Government or offeror delays the debriefing, the PCO must provide the debriefing within the timeframe established for postaward debriefings.</w:t>
      </w:r>
    </w:p>
    <w:p>
      <w:pPr>
        <w:pBdr>
          <w:top w:space="5"/>
          <w:left w:space="5"/>
          <w:bottom w:space="5"/>
          <w:right w:space="5"/>
        </w:pBdr>
        <w:spacing w:after="0"/>
        <w:ind w:left="585"/>
        <w:jc w:val="left"/>
      </w:pPr>
      <w:r>
        <w:rPr>
          <w:rFonts w:ascii="Times New Roman" w:hAnsi="Times New Roman"/>
          <w:b w:val="false"/>
          <w:i w:val="false"/>
          <w:color w:val="000000"/>
          <w:sz w:val="22"/>
        </w:rPr>
        <w:t xml:space="preserve">(3) If an offeror submits an untimely request for debriefing, the PCO may nonetheless conduct a debriefing if feasible. In such case, inform the offeror the request is untimely. </w:t>
      </w:r>
      <w:r>
        <w:rPr>
          <w:rFonts w:ascii="Times New Roman" w:hAnsi="Times New Roman"/>
          <w:b/>
          <w:i w:val="false"/>
          <w:color w:val="000000"/>
          <w:sz w:val="22"/>
        </w:rPr>
        <w:t>NOTE:</w:t>
      </w:r>
      <w:r>
        <w:rPr>
          <w:rFonts w:ascii="Times New Roman" w:hAnsi="Times New Roman"/>
          <w:b w:val="false"/>
          <w:i w:val="false"/>
          <w:color w:val="000000"/>
          <w:sz w:val="22"/>
        </w:rPr>
        <w:t xml:space="preserve"> If new information is provided during an untimely debriefing, it may form the basis of a timely protest. Therefore, obtain legal advice prior to providing an untimely debriefing</w:t>
      </w:r>
    </w:p>
    <w:p>
      <w:pPr>
        <w:pBdr>
          <w:top w:space="5"/>
          <w:left w:space="5"/>
          <w:bottom w:space="5"/>
          <w:right w:space="5"/>
        </w:pBdr>
        <w:spacing w:after="0"/>
        <w:ind w:left="585"/>
        <w:jc w:val="left"/>
      </w:pPr>
      <w:r>
        <w:rPr>
          <w:rFonts w:ascii="Times New Roman" w:hAnsi="Times New Roman"/>
          <w:b w:val="false"/>
          <w:i w:val="false"/>
          <w:color w:val="000000"/>
          <w:sz w:val="22"/>
        </w:rPr>
        <w:t>(4)Do not count the day the offeror received the notice; start with the next day. Consider sending the notice by mail with return receipt requested or by electronic means (facsimile transmission or e-mail) with immediate acknowledgment requested so that you can easily establish the date the offeror received it.</w:t>
      </w:r>
    </w:p>
    <w:p>
      <w:pPr>
        <w:pBdr>
          <w:top w:space="5"/>
          <w:left w:space="5"/>
          <w:bottom w:space="5"/>
          <w:right w:space="5"/>
        </w:pBdr>
        <w:spacing w:after="0"/>
        <w:ind w:left="585"/>
        <w:jc w:val="left"/>
      </w:pPr>
      <w:r>
        <w:rPr>
          <w:rFonts w:ascii="Times New Roman" w:hAnsi="Times New Roman"/>
          <w:b w:val="false"/>
          <w:i w:val="false"/>
          <w:color w:val="000000"/>
          <w:sz w:val="22"/>
        </w:rPr>
        <w:t>(5)Includes such things as trade secrets; privileged or confidential information, e.g., manufacturing processes and techniques, commercial and financial information, and cost data; and the names of individuals providing past performance information. It does not include information otherwise available without restriction to the Government or public.</w:t>
      </w:r>
    </w:p>
    <w:p>
      <w:pPr>
        <w:pBdr>
          <w:top w:space="5"/>
          <w:left w:space="5"/>
          <w:bottom w:space="5"/>
          <w:right w:space="5"/>
        </w:pBdr>
        <w:spacing w:after="0"/>
        <w:ind w:left="585"/>
        <w:jc w:val="left"/>
      </w:pPr>
      <w:r>
        <w:rPr>
          <w:rFonts w:ascii="Times New Roman" w:hAnsi="Times New Roman"/>
          <w:b w:val="false"/>
          <w:i w:val="false"/>
          <w:color w:val="000000"/>
          <w:sz w:val="22"/>
        </w:rPr>
        <w:t>(6) If the element was significant enough to eliminate the offeror from the competitive range, it is significant for debriefing purposes. Include both positive and negative aspects of the offeror’s proposal to help improve future proposals.</w:t>
      </w:r>
    </w:p>
    <w:p>
      <w:pPr>
        <w:pBdr>
          <w:top w:space="5"/>
          <w:left w:space="5"/>
          <w:bottom w:space="5"/>
          <w:right w:space="5"/>
        </w:pBdr>
        <w:spacing w:after="0"/>
        <w:ind w:left="225"/>
        <w:jc w:val="left"/>
      </w:pPr>
      <w:r>
        <w:rPr>
          <w:rFonts w:ascii="Times New Roman" w:hAnsi="Times New Roman"/>
          <w:b/>
          <w:i/>
          <w:color w:val="000000"/>
          <w:sz w:val="22"/>
          <w:u w:val="single"/>
        </w:rPr>
        <w:t>Other Information to Ensure a Meaningful Debriefing</w:t>
      </w:r>
    </w:p>
    <w:p>
      <w:pPr>
        <w:pBdr>
          <w:top w:space="5"/>
          <w:left w:space="5"/>
          <w:bottom w:space="5"/>
          <w:right w:space="5"/>
        </w:pBdr>
        <w:spacing w:after="0"/>
        <w:ind w:left="225"/>
        <w:jc w:val="left"/>
      </w:pPr>
      <w:r>
        <w:rPr>
          <w:rFonts w:ascii="Times New Roman" w:hAnsi="Times New Roman"/>
          <w:b w:val="false"/>
          <w:i w:val="false"/>
          <w:color w:val="000000"/>
          <w:sz w:val="22"/>
        </w:rPr>
        <w:t>In a postaward debriefing, disclose the evaluation ratings of the debriefed offeror and awardee to the subfactor level of evaluation; and all significant weaknesses, weaknesses, strengths, and deficiencies (if any) of the debriefed offeror’s proposal.</w:t>
      </w:r>
    </w:p>
    <w:p>
      <w:pPr>
        <w:pBdr>
          <w:top w:space="5"/>
          <w:left w:space="5"/>
          <w:bottom w:space="5"/>
          <w:right w:space="5"/>
        </w:pBdr>
        <w:spacing w:after="0"/>
        <w:ind w:left="225"/>
        <w:jc w:val="left"/>
      </w:pPr>
      <w:r>
        <w:rPr>
          <w:rFonts w:ascii="Times New Roman" w:hAnsi="Times New Roman"/>
          <w:b w:val="false"/>
          <w:i w:val="false"/>
          <w:color w:val="000000"/>
          <w:sz w:val="22"/>
        </w:rPr>
        <w:t>Disclose the debriefed offeror’s total evaluated prices and the awardee’s total evaluated cost/price (include unit prices only if releasable under FOIA, but DO NOT disclose the IGCE).</w:t>
      </w:r>
    </w:p>
    <w:p>
      <w:pPr>
        <w:pBdr>
          <w:top w:space="5"/>
          <w:left w:space="5"/>
          <w:bottom w:space="5"/>
          <w:right w:space="5"/>
        </w:pBdr>
        <w:spacing w:after="0"/>
        <w:ind w:left="225"/>
        <w:jc w:val="left"/>
      </w:pPr>
      <w:r>
        <w:rPr>
          <w:rFonts w:ascii="Times New Roman" w:hAnsi="Times New Roman"/>
          <w:b w:val="false"/>
          <w:i w:val="false"/>
          <w:color w:val="000000"/>
          <w:sz w:val="22"/>
        </w:rPr>
        <w:t xml:space="preserve">Disclose a summary of the rationale for the contract award decision. The rationale is contained in the SSA’s source selection decision document. Consider furnishing the debriefed offerors with a </w:t>
      </w:r>
      <w:r>
        <w:rPr>
          <w:rFonts w:ascii="Times New Roman" w:hAnsi="Times New Roman"/>
          <w:b/>
          <w:i/>
          <w:color w:val="000000"/>
          <w:sz w:val="22"/>
        </w:rPr>
        <w:t>redacted</w:t>
      </w:r>
      <w:r>
        <w:rPr>
          <w:rFonts w:ascii="Times New Roman" w:hAnsi="Times New Roman"/>
          <w:b w:val="false"/>
          <w:i w:val="false"/>
          <w:color w:val="000000"/>
          <w:sz w:val="22"/>
        </w:rPr>
        <w:t xml:space="preserve"> copy of this document. Evaluation information concerning the other unsuccessful offerors and information not releasable under FOIA must be redacted prior to release (ensure no information listed in FAR 15.506(e) is released).</w:t>
      </w:r>
    </w:p>
    <w:p>
      <w:pPr>
        <w:pBdr>
          <w:top w:space="5"/>
          <w:left w:space="5"/>
          <w:bottom w:space="5"/>
          <w:right w:space="5"/>
        </w:pBdr>
        <w:spacing w:after="0"/>
        <w:ind w:left="225"/>
        <w:jc w:val="left"/>
      </w:pPr>
      <w:r>
        <w:rPr>
          <w:rFonts w:ascii="Times New Roman" w:hAnsi="Times New Roman"/>
          <w:b w:val="false"/>
          <w:i w:val="false"/>
          <w:color w:val="000000"/>
          <w:sz w:val="22"/>
        </w:rPr>
        <w:t>Clearly indicate that the debriefing has been concluded. Formal conclusion of the debriefing begins the protest window.</w:t>
      </w:r>
    </w:p>
    <w:p>
      <w:pPr>
        <w:pBdr>
          <w:top w:space="5"/>
          <w:left w:space="5"/>
          <w:bottom w:space="5"/>
          <w:right w:space="5"/>
        </w:pBdr>
        <w:spacing w:after="0"/>
        <w:ind w:left="225"/>
        <w:jc w:val="left"/>
      </w:pPr>
      <w:r>
        <w:rPr>
          <w:rFonts w:ascii="Times New Roman" w:hAnsi="Times New Roman"/>
          <w:b/>
          <w:i/>
          <w:color w:val="000000"/>
          <w:sz w:val="22"/>
        </w:rPr>
        <w:t>A-3 Notification of Debriefing</w:t>
      </w:r>
    </w:p>
    <w:p>
      <w:pPr>
        <w:pBdr>
          <w:top w:space="5"/>
          <w:left w:space="5"/>
          <w:bottom w:space="5"/>
          <w:right w:space="5"/>
        </w:pBdr>
        <w:spacing w:after="0"/>
        <w:ind w:left="225"/>
        <w:jc w:val="left"/>
      </w:pPr>
      <w:r>
        <w:rPr>
          <w:rFonts w:ascii="Times New Roman" w:hAnsi="Times New Roman"/>
          <w:b w:val="false"/>
          <w:i w:val="false"/>
          <w:color w:val="000000"/>
          <w:sz w:val="22"/>
        </w:rPr>
        <w:t>Regardless of the method of debriefing, the PCO should document all aspects of the process for arranging the debriefing date to include written acknowledgement from the offeror.</w:t>
      </w:r>
    </w:p>
    <w:p>
      <w:pPr>
        <w:pBdr>
          <w:top w:space="5"/>
          <w:left w:space="5"/>
          <w:bottom w:space="5"/>
          <w:right w:space="5"/>
        </w:pBdr>
        <w:spacing w:after="0"/>
        <w:ind w:left="225"/>
        <w:jc w:val="left"/>
      </w:pPr>
      <w:r>
        <w:rPr>
          <w:rFonts w:ascii="Times New Roman" w:hAnsi="Times New Roman"/>
          <w:b/>
          <w:i/>
          <w:color w:val="000000"/>
          <w:sz w:val="22"/>
        </w:rPr>
        <w:t>A-4 Debriefing Location</w:t>
      </w:r>
    </w:p>
    <w:p>
      <w:pPr>
        <w:pBdr>
          <w:top w:space="5"/>
          <w:left w:space="5"/>
          <w:bottom w:space="5"/>
          <w:right w:space="5"/>
        </w:pBdr>
        <w:spacing w:after="0"/>
        <w:ind w:left="225"/>
        <w:jc w:val="left"/>
      </w:pPr>
      <w:r>
        <w:rPr>
          <w:rFonts w:ascii="Times New Roman" w:hAnsi="Times New Roman"/>
          <w:b w:val="false"/>
          <w:i w:val="false"/>
          <w:color w:val="000000"/>
          <w:sz w:val="22"/>
        </w:rPr>
        <w:t>The PCO should always consider the needs of the offeror as well as the ability of the Government to accommodate when selecting the debriefing location. Just as important is the inclusion of the right personnel in the debriefing process. Therefore, all reasonable efforts should be made to ensure key individuals from distant locations can participate.</w:t>
      </w:r>
    </w:p>
    <w:p>
      <w:pPr>
        <w:pBdr>
          <w:top w:space="5"/>
          <w:left w:space="5"/>
          <w:bottom w:space="5"/>
          <w:right w:space="5"/>
        </w:pBdr>
        <w:spacing w:after="0"/>
        <w:ind w:left="225"/>
        <w:jc w:val="left"/>
      </w:pPr>
      <w:r>
        <w:rPr>
          <w:rFonts w:ascii="Times New Roman" w:hAnsi="Times New Roman"/>
          <w:b w:val="false"/>
          <w:i w:val="false"/>
          <w:color w:val="000000"/>
          <w:sz w:val="22"/>
        </w:rPr>
        <w:t>For face-to-face debriefings, the PCO shall ensure that all access and security requirements for offerors and Government personnel attendance are met. This may include requirements to access the installation or debriefing facility.</w:t>
      </w:r>
    </w:p>
    <w:p>
      <w:pPr>
        <w:pBdr>
          <w:top w:space="5"/>
          <w:left w:space="5"/>
          <w:bottom w:space="5"/>
          <w:right w:space="5"/>
        </w:pBdr>
        <w:spacing w:after="0"/>
        <w:ind w:left="225"/>
        <w:jc w:val="left"/>
      </w:pPr>
      <w:r>
        <w:rPr>
          <w:rFonts w:ascii="Times New Roman" w:hAnsi="Times New Roman"/>
          <w:b/>
          <w:i/>
          <w:color w:val="000000"/>
          <w:sz w:val="22"/>
        </w:rPr>
        <w:t>A-5 Debriefing Attendees</w:t>
      </w:r>
    </w:p>
    <w:p>
      <w:pPr>
        <w:pBdr>
          <w:top w:space="5"/>
          <w:left w:space="5"/>
          <w:bottom w:space="5"/>
          <w:right w:space="5"/>
        </w:pBdr>
        <w:spacing w:after="0"/>
        <w:ind w:left="225"/>
        <w:jc w:val="left"/>
      </w:pPr>
      <w:r>
        <w:rPr>
          <w:rFonts w:ascii="Times New Roman" w:hAnsi="Times New Roman"/>
          <w:b/>
          <w:i w:val="false"/>
          <w:color w:val="000000"/>
          <w:sz w:val="22"/>
        </w:rPr>
        <w:t>Government Personnel.</w:t>
      </w:r>
      <w:r>
        <w:rPr>
          <w:rFonts w:ascii="Times New Roman" w:hAnsi="Times New Roman"/>
          <w:b w:val="false"/>
          <w:i w:val="false"/>
          <w:color w:val="000000"/>
          <w:sz w:val="22"/>
        </w:rPr>
        <w:t xml:space="preserve"> As chair of the debriefing, the PCO should coordinate attendance of the right Government participants and ensure Legal Counsel attends, especially when the offeror’s Legal Counsel is going to attend. </w:t>
      </w:r>
      <w:r>
        <w:rPr>
          <w:rFonts w:ascii="Times New Roman" w:hAnsi="Times New Roman"/>
          <w:b w:val="false"/>
          <w:i/>
          <w:color w:val="000000"/>
          <w:sz w:val="22"/>
        </w:rPr>
        <w:t>(Reference DOD Source Selection Procedures Appendix A.5.1)</w:t>
      </w:r>
    </w:p>
    <w:p>
      <w:pPr>
        <w:pBdr>
          <w:top w:space="5"/>
          <w:left w:space="5"/>
          <w:bottom w:space="5"/>
          <w:right w:space="5"/>
        </w:pBdr>
        <w:spacing w:after="0"/>
        <w:ind w:left="225"/>
        <w:jc w:val="left"/>
      </w:pPr>
      <w:r>
        <w:rPr>
          <w:rFonts w:ascii="Times New Roman" w:hAnsi="Times New Roman"/>
          <w:b/>
          <w:i w:val="false"/>
          <w:color w:val="000000"/>
          <w:sz w:val="22"/>
        </w:rPr>
        <w:t>Debriefed Offeror Personnel.</w:t>
      </w:r>
      <w:r>
        <w:rPr>
          <w:rFonts w:ascii="Times New Roman" w:hAnsi="Times New Roman"/>
          <w:b w:val="false"/>
          <w:i w:val="false"/>
          <w:color w:val="000000"/>
          <w:sz w:val="22"/>
        </w:rPr>
        <w:t xml:space="preserve"> Subcontractors may attend the prime contractor’s debriefing, with the invitation and consent of the prime contractor. </w:t>
      </w:r>
      <w:r>
        <w:rPr>
          <w:rFonts w:ascii="Times New Roman" w:hAnsi="Times New Roman"/>
          <w:b w:val="false"/>
          <w:i/>
          <w:color w:val="000000"/>
          <w:sz w:val="22"/>
        </w:rPr>
        <w:t>(Reference DOD Source Selection Procedures Appendix A.5.2)</w:t>
      </w:r>
    </w:p>
    <w:p>
      <w:pPr>
        <w:pBdr>
          <w:top w:space="5"/>
          <w:left w:space="5"/>
          <w:bottom w:space="5"/>
          <w:right w:space="5"/>
        </w:pBdr>
        <w:spacing w:after="0"/>
        <w:ind w:left="225"/>
        <w:jc w:val="left"/>
      </w:pPr>
      <w:r>
        <w:rPr>
          <w:rFonts w:ascii="Times New Roman" w:hAnsi="Times New Roman"/>
          <w:b/>
          <w:i/>
          <w:color w:val="000000"/>
          <w:sz w:val="22"/>
        </w:rPr>
        <w:t>A-6 Preparing for the Debriefing</w:t>
      </w:r>
    </w:p>
    <w:p>
      <w:pPr>
        <w:pBdr>
          <w:top w:space="5"/>
          <w:left w:space="5"/>
          <w:bottom w:space="5"/>
          <w:right w:space="5"/>
        </w:pBdr>
        <w:spacing w:after="0"/>
        <w:ind w:left="225"/>
        <w:jc w:val="left"/>
      </w:pPr>
      <w:r>
        <w:rPr>
          <w:rFonts w:ascii="Times New Roman" w:hAnsi="Times New Roman"/>
          <w:b w:val="false"/>
          <w:i w:val="false"/>
          <w:color w:val="000000"/>
          <w:sz w:val="22"/>
        </w:rPr>
        <w:t>Because debriefings are time-sensitive, the prioritization of (and preparation for) this event(s) is critical. The extent of preparation may vary considerably with the complexity of each acquisition. This documentation (in addition to the outline, if used) will establish a “framework” to ensure the debriefing remains focused and productive.</w:t>
      </w:r>
    </w:p>
    <w:p>
      <w:pPr>
        <w:pBdr>
          <w:top w:space="5"/>
          <w:left w:space="5"/>
          <w:bottom w:space="5"/>
          <w:right w:space="5"/>
        </w:pBdr>
        <w:spacing w:after="0"/>
        <w:ind w:left="225"/>
        <w:jc w:val="left"/>
      </w:pPr>
      <w:r>
        <w:rPr>
          <w:rFonts w:ascii="Times New Roman" w:hAnsi="Times New Roman"/>
          <w:b/>
          <w:i/>
          <w:color w:val="000000"/>
          <w:sz w:val="22"/>
        </w:rPr>
        <w:t>Establish and Prepare Debriefing Documentation</w:t>
      </w:r>
    </w:p>
    <w:p>
      <w:pPr>
        <w:numPr>
          <w:ilvl w:val="0"/>
          <w:numId w:val="5"/>
        </w:numPr>
        <w:spacing w:after="0"/>
        <w:jc w:val="left"/>
      </w:pPr>
      <w:r>
        <w:rPr>
          <w:rFonts w:ascii="Times New Roman" w:hAnsi="Times New Roman"/>
          <w:b w:val="false"/>
          <w:i w:val="false"/>
          <w:color w:val="000000"/>
          <w:sz w:val="22"/>
        </w:rPr>
        <w:t>Briefing charts alone (with information taken directly from final briefing slides presented to the SSA) may be sufficient.</w:t>
      </w:r>
    </w:p>
    <w:p>
      <w:pPr>
        <w:numPr>
          <w:ilvl w:val="0"/>
          <w:numId w:val="5"/>
        </w:numPr>
        <w:spacing w:after="0"/>
        <w:jc w:val="left"/>
      </w:pPr>
      <w:r>
        <w:rPr>
          <w:rFonts w:ascii="Times New Roman" w:hAnsi="Times New Roman"/>
          <w:b w:val="false"/>
          <w:i w:val="false"/>
          <w:color w:val="000000"/>
          <w:sz w:val="22"/>
        </w:rPr>
        <w:t>A written script (which may later be provided to the offeror) may be prudent in addition to briefing charts.</w:t>
      </w:r>
    </w:p>
    <w:p>
      <w:pPr>
        <w:numPr>
          <w:ilvl w:val="0"/>
          <w:numId w:val="5"/>
        </w:numPr>
        <w:spacing w:after="0"/>
        <w:jc w:val="left"/>
      </w:pPr>
      <w:r>
        <w:rPr>
          <w:rFonts w:ascii="Times New Roman" w:hAnsi="Times New Roman"/>
          <w:b w:val="false"/>
          <w:i w:val="false"/>
          <w:color w:val="000000"/>
          <w:sz w:val="22"/>
        </w:rPr>
        <w:t>Review and be familiar with the final evaluation report for the debriefed offeror.</w:t>
      </w:r>
    </w:p>
    <w:p>
      <w:pPr>
        <w:pBdr>
          <w:top w:space="5"/>
          <w:left w:space="5"/>
          <w:bottom w:space="5"/>
          <w:right w:space="5"/>
        </w:pBdr>
        <w:spacing w:after="0"/>
        <w:ind w:left="225"/>
        <w:jc w:val="left"/>
      </w:pPr>
      <w:r>
        <w:rPr>
          <w:rFonts w:ascii="Times New Roman" w:hAnsi="Times New Roman"/>
          <w:b/>
          <w:i/>
          <w:color w:val="000000"/>
          <w:sz w:val="22"/>
        </w:rPr>
        <w:t>Practice the Debriefing</w:t>
      </w:r>
    </w:p>
    <w:p>
      <w:pPr>
        <w:numPr>
          <w:ilvl w:val="0"/>
          <w:numId w:val="6"/>
        </w:numPr>
        <w:spacing w:after="0"/>
        <w:jc w:val="left"/>
      </w:pPr>
      <w:r>
        <w:rPr>
          <w:rFonts w:ascii="Times New Roman" w:hAnsi="Times New Roman"/>
          <w:b w:val="false"/>
          <w:i w:val="false"/>
          <w:color w:val="000000"/>
          <w:sz w:val="22"/>
        </w:rPr>
        <w:t>Rehearse the order and execution of the debriefing.</w:t>
      </w:r>
    </w:p>
    <w:p>
      <w:pPr>
        <w:numPr>
          <w:ilvl w:val="0"/>
          <w:numId w:val="6"/>
        </w:numPr>
        <w:spacing w:after="0"/>
        <w:jc w:val="left"/>
      </w:pPr>
      <w:r>
        <w:rPr>
          <w:rFonts w:ascii="Times New Roman" w:hAnsi="Times New Roman"/>
          <w:b w:val="false"/>
          <w:i w:val="false"/>
          <w:color w:val="000000"/>
          <w:sz w:val="22"/>
        </w:rPr>
        <w:t>Ensure the Government participants understand their roles and when to speak.</w:t>
      </w:r>
    </w:p>
    <w:p>
      <w:pPr>
        <w:numPr>
          <w:ilvl w:val="0"/>
          <w:numId w:val="6"/>
        </w:numPr>
        <w:spacing w:after="0"/>
        <w:jc w:val="left"/>
      </w:pPr>
      <w:r>
        <w:rPr>
          <w:rFonts w:ascii="Times New Roman" w:hAnsi="Times New Roman"/>
          <w:b w:val="false"/>
          <w:i w:val="false"/>
          <w:color w:val="000000"/>
          <w:sz w:val="22"/>
        </w:rPr>
        <w:t>Set rules for taking new questions and caucusing.</w:t>
      </w:r>
    </w:p>
    <w:p>
      <w:pPr>
        <w:pBdr>
          <w:top w:space="5"/>
          <w:left w:space="5"/>
          <w:bottom w:space="5"/>
          <w:right w:space="5"/>
        </w:pBdr>
        <w:spacing w:after="0"/>
        <w:ind w:left="225"/>
        <w:jc w:val="left"/>
      </w:pPr>
      <w:r>
        <w:rPr>
          <w:rFonts w:ascii="Times New Roman" w:hAnsi="Times New Roman"/>
          <w:b/>
          <w:i/>
          <w:color w:val="000000"/>
          <w:sz w:val="22"/>
        </w:rPr>
        <w:t>A-7 Outline for the Debriefing – No Army Text</w:t>
      </w:r>
    </w:p>
    <w:p>
      <w:pPr>
        <w:pBdr>
          <w:top w:space="5"/>
          <w:left w:space="5"/>
          <w:bottom w:space="5"/>
          <w:right w:space="5"/>
        </w:pBdr>
        <w:spacing w:after="0"/>
        <w:ind w:left="225"/>
        <w:jc w:val="left"/>
      </w:pPr>
      <w:r>
        <w:rPr>
          <w:rFonts w:ascii="Times New Roman" w:hAnsi="Times New Roman"/>
          <w:b/>
          <w:i/>
          <w:color w:val="000000"/>
          <w:sz w:val="22"/>
        </w:rPr>
        <w:t>A-8 Conducting the Debriefing</w:t>
      </w:r>
    </w:p>
    <w:p>
      <w:pPr>
        <w:pBdr>
          <w:top w:space="5"/>
          <w:left w:space="5"/>
          <w:bottom w:space="5"/>
          <w:right w:space="5"/>
        </w:pBdr>
        <w:spacing w:after="0"/>
        <w:ind w:left="225"/>
        <w:jc w:val="left"/>
      </w:pPr>
      <w:r>
        <w:rPr>
          <w:rFonts w:ascii="Times New Roman" w:hAnsi="Times New Roman"/>
          <w:b/>
          <w:i/>
          <w:color w:val="000000"/>
          <w:sz w:val="22"/>
        </w:rPr>
        <w:t>Handling Questions</w:t>
      </w:r>
    </w:p>
    <w:p>
      <w:pPr>
        <w:numPr>
          <w:ilvl w:val="0"/>
          <w:numId w:val="7"/>
        </w:numPr>
        <w:spacing w:after="0"/>
        <w:jc w:val="left"/>
      </w:pPr>
      <w:r>
        <w:rPr>
          <w:rFonts w:ascii="Times New Roman" w:hAnsi="Times New Roman"/>
          <w:b w:val="false"/>
          <w:i w:val="false"/>
          <w:color w:val="000000"/>
          <w:sz w:val="22"/>
        </w:rPr>
        <w:t>You may request that questions from the offeror’s personnel be funneled through their main spokesperson (this facilitates the orderly conduct of the debriefing).</w:t>
      </w:r>
    </w:p>
    <w:p>
      <w:pPr>
        <w:numPr>
          <w:ilvl w:val="0"/>
          <w:numId w:val="7"/>
        </w:numPr>
        <w:spacing w:after="0"/>
        <w:jc w:val="left"/>
      </w:pPr>
      <w:r>
        <w:rPr>
          <w:rFonts w:ascii="Times New Roman" w:hAnsi="Times New Roman"/>
          <w:b w:val="false"/>
          <w:i w:val="false"/>
          <w:color w:val="000000"/>
          <w:sz w:val="22"/>
        </w:rPr>
        <w:t>As a general rule, do not answer questions on the fly.</w:t>
      </w:r>
    </w:p>
    <w:p>
      <w:pPr>
        <w:numPr>
          <w:ilvl w:val="0"/>
          <w:numId w:val="7"/>
        </w:numPr>
        <w:spacing w:after="0"/>
        <w:jc w:val="left"/>
      </w:pPr>
      <w:r>
        <w:rPr>
          <w:rFonts w:ascii="Times New Roman" w:hAnsi="Times New Roman"/>
          <w:b w:val="false"/>
          <w:i w:val="false"/>
          <w:color w:val="000000"/>
          <w:sz w:val="22"/>
        </w:rPr>
        <w:t xml:space="preserve">Hold a Government caucus to formulate a response before providing an answer </w:t>
      </w:r>
      <w:r>
        <w:rPr>
          <w:rFonts w:ascii="Times New Roman" w:hAnsi="Times New Roman"/>
          <w:b w:val="false"/>
          <w:i/>
          <w:color w:val="000000"/>
          <w:sz w:val="22"/>
        </w:rPr>
        <w:t>(maintain source selection materials in caucus room for reference if needed)</w:t>
      </w:r>
      <w:r>
        <w:rPr>
          <w:rFonts w:ascii="Times New Roman" w:hAnsi="Times New Roman"/>
          <w:b w:val="false"/>
          <w:i w:val="false"/>
          <w:color w:val="000000"/>
          <w:sz w:val="22"/>
        </w:rPr>
        <w:t>.</w:t>
      </w:r>
    </w:p>
    <w:p>
      <w:pPr>
        <w:numPr>
          <w:ilvl w:val="0"/>
          <w:numId w:val="7"/>
        </w:numPr>
        <w:spacing w:after="0"/>
        <w:jc w:val="left"/>
      </w:pPr>
      <w:r>
        <w:rPr>
          <w:rFonts w:ascii="Times New Roman" w:hAnsi="Times New Roman"/>
          <w:b w:val="false"/>
          <w:i w:val="false"/>
          <w:color w:val="000000"/>
          <w:sz w:val="22"/>
        </w:rPr>
        <w:t>Government participants should only speak when requested by the PCO. Discussion should be tightly controlled.</w:t>
      </w:r>
    </w:p>
    <w:p>
      <w:pPr>
        <w:numPr>
          <w:ilvl w:val="0"/>
          <w:numId w:val="7"/>
        </w:numPr>
        <w:spacing w:after="0"/>
        <w:jc w:val="left"/>
      </w:pPr>
      <w:r>
        <w:rPr>
          <w:rFonts w:ascii="Times New Roman" w:hAnsi="Times New Roman"/>
          <w:b w:val="false"/>
          <w:i w:val="false"/>
          <w:color w:val="000000"/>
          <w:sz w:val="22"/>
        </w:rPr>
        <w:t>At the end of the debriefing, advise the offeror that the debriefing is concluded.</w:t>
      </w:r>
    </w:p>
    <w:p>
      <w:pPr>
        <w:numPr>
          <w:ilvl w:val="0"/>
          <w:numId w:val="7"/>
        </w:numPr>
        <w:spacing w:after="0"/>
        <w:jc w:val="left"/>
      </w:pPr>
      <w:r>
        <w:rPr>
          <w:rFonts w:ascii="Times New Roman" w:hAnsi="Times New Roman"/>
          <w:b w:val="false"/>
          <w:i w:val="false"/>
          <w:color w:val="000000"/>
          <w:sz w:val="22"/>
        </w:rPr>
        <w:t xml:space="preserve">At the discretion of the PCO, you may answer questions submitted by the offeror after the debriefing. </w:t>
      </w:r>
      <w:r>
        <w:rPr>
          <w:rFonts w:ascii="Times New Roman" w:hAnsi="Times New Roman"/>
          <w:b/>
          <w:i/>
          <w:color w:val="000000"/>
          <w:sz w:val="22"/>
        </w:rPr>
        <w:t>You should advise the</w:t>
      </w:r>
      <w:r>
        <w:rPr>
          <w:rFonts w:ascii="Times New Roman" w:hAnsi="Times New Roman"/>
          <w:b/>
          <w:i/>
          <w:color w:val="000000"/>
          <w:sz w:val="22"/>
        </w:rPr>
        <w:t>offeror</w:t>
      </w:r>
      <w:r>
        <w:rPr>
          <w:rFonts w:ascii="Times New Roman" w:hAnsi="Times New Roman"/>
          <w:b/>
          <w:i/>
          <w:color w:val="000000"/>
          <w:sz w:val="22"/>
        </w:rPr>
        <w:t>that the information is not considered part of the official debriefing (thereby not impacting the protest time period).</w:t>
      </w:r>
    </w:p>
    <w:p>
      <w:pPr>
        <w:pBdr>
          <w:top w:space="5"/>
          <w:left w:space="5"/>
          <w:bottom w:space="5"/>
          <w:right w:space="5"/>
        </w:pBdr>
        <w:spacing w:after="0"/>
        <w:ind w:left="225"/>
        <w:jc w:val="left"/>
      </w:pPr>
      <w:r>
        <w:rPr>
          <w:rFonts w:ascii="Times New Roman" w:hAnsi="Times New Roman"/>
          <w:b/>
          <w:i/>
          <w:color w:val="000000"/>
          <w:sz w:val="22"/>
        </w:rPr>
        <w:t>The Post Debriefing Memorandum</w:t>
      </w:r>
    </w:p>
    <w:p>
      <w:pPr>
        <w:numPr>
          <w:ilvl w:val="0"/>
          <w:numId w:val="8"/>
        </w:numPr>
        <w:spacing w:after="0"/>
        <w:jc w:val="left"/>
      </w:pPr>
      <w:r>
        <w:rPr>
          <w:rFonts w:ascii="Times New Roman" w:hAnsi="Times New Roman"/>
          <w:b w:val="false"/>
          <w:i w:val="false"/>
          <w:color w:val="000000"/>
          <w:sz w:val="22"/>
        </w:rPr>
        <w:t>The PCO must include a summary of each debriefing as a record in the contract file. This post-debriefing memorandum should include, at a minimum:</w:t>
      </w:r>
    </w:p>
    <w:p>
      <w:pPr>
        <w:numPr>
          <w:ilvl w:val="1"/>
          <w:numId w:val="8"/>
        </w:numPr>
        <w:spacing w:after="0"/>
        <w:jc w:val="left"/>
      </w:pPr>
      <w:r>
        <w:rPr>
          <w:rFonts w:ascii="Times New Roman" w:hAnsi="Times New Roman"/>
          <w:b w:val="false"/>
          <w:i w:val="false"/>
          <w:color w:val="000000"/>
          <w:sz w:val="22"/>
        </w:rPr>
        <w:t>A list of all debriefing attendees;</w:t>
      </w:r>
    </w:p>
    <w:p>
      <w:pPr>
        <w:numPr>
          <w:ilvl w:val="1"/>
          <w:numId w:val="8"/>
        </w:numPr>
        <w:spacing w:after="0"/>
        <w:jc w:val="left"/>
      </w:pPr>
      <w:r>
        <w:rPr>
          <w:rFonts w:ascii="Times New Roman" w:hAnsi="Times New Roman"/>
          <w:b w:val="false"/>
          <w:i w:val="false"/>
          <w:color w:val="000000"/>
          <w:sz w:val="22"/>
        </w:rPr>
        <w:t>A summary of the information disclosed during the debriefing. The most efficient means for doing this is to attach the debriefing slides to the memorandum;</w:t>
      </w:r>
    </w:p>
    <w:p>
      <w:pPr>
        <w:numPr>
          <w:ilvl w:val="1"/>
          <w:numId w:val="8"/>
        </w:numPr>
        <w:spacing w:after="0"/>
        <w:jc w:val="left"/>
      </w:pPr>
      <w:r>
        <w:rPr>
          <w:rFonts w:ascii="Times New Roman" w:hAnsi="Times New Roman"/>
          <w:b w:val="false"/>
          <w:i w:val="false"/>
          <w:color w:val="000000"/>
          <w:sz w:val="22"/>
        </w:rPr>
        <w:t>The offeror’s request for a debriefing, if any;</w:t>
      </w:r>
    </w:p>
    <w:p>
      <w:pPr>
        <w:numPr>
          <w:ilvl w:val="1"/>
          <w:numId w:val="8"/>
        </w:numPr>
        <w:spacing w:after="0"/>
        <w:jc w:val="left"/>
      </w:pPr>
      <w:r>
        <w:rPr>
          <w:rFonts w:ascii="Times New Roman" w:hAnsi="Times New Roman"/>
          <w:b w:val="false"/>
          <w:i w:val="false"/>
          <w:color w:val="000000"/>
          <w:sz w:val="22"/>
        </w:rPr>
        <w:t>The substance of all questions and answers discussed at, or provided subsequent to, the debriefing. This includes previously submitted questions, any hand-outs, and a list of written questions/answers;</w:t>
      </w:r>
    </w:p>
    <w:p>
      <w:pPr>
        <w:numPr>
          <w:ilvl w:val="1"/>
          <w:numId w:val="8"/>
        </w:numPr>
        <w:spacing w:after="0"/>
        <w:jc w:val="left"/>
      </w:pPr>
      <w:r>
        <w:rPr>
          <w:rFonts w:ascii="Times New Roman" w:hAnsi="Times New Roman"/>
          <w:b w:val="false"/>
          <w:i w:val="false"/>
          <w:color w:val="000000"/>
          <w:sz w:val="22"/>
        </w:rPr>
        <w:t>Any other relevant documents.</w:t>
      </w:r>
    </w:p>
    <w:p>
      <w:pPr>
        <w:pBdr>
          <w:top w:space="5"/>
          <w:left w:space="5"/>
          <w:bottom w:space="5"/>
          <w:right w:space="5"/>
        </w:pBdr>
        <w:spacing w:after="0"/>
        <w:ind w:left="225"/>
        <w:jc w:val="left"/>
      </w:pPr>
      <w:r>
        <w:rPr>
          <w:rFonts w:ascii="Times New Roman" w:hAnsi="Times New Roman"/>
          <w:b/>
          <w:i/>
          <w:color w:val="000000"/>
          <w:sz w:val="22"/>
        </w:rPr>
        <w:t>A-9 Sample Offeror Questions – No Army Text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