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**ID__AFARS_APPENDIX-AA_Chapter-5_APPENDIX-B__ID**</w:t>
      </w:r>
    </w:p>
    <w:p>
      <w:pPr>
        <w:pStyle w:val="Heading3"/>
        <w:spacing w:after="199"/>
        <w:ind w:left="120"/>
        <w:jc w:val="center"/>
      </w:pPr>
      <w:r>
        <w:rPr>
          <w:rFonts w:ascii="Times New Roman" w:hAnsi="Times New Roman"/>
          <w:color w:val="000000"/>
        </w:rPr>
        <w:t>APPENDIX B</w:t>
      </w:r>
    </w:p>
    <w:p>
      <w:pPr>
        <w:pBdr>
          <w:top w:space="5"/>
          <w:left w:space="5"/>
          <w:bottom w:space="5"/>
          <w:right w:space="5"/>
        </w:pBdr>
        <w:spacing w:after="0"/>
        <w:ind w:left="225"/>
        <w:jc w:val="center"/>
      </w:pPr>
      <w:r>
        <w:rPr>
          <w:rFonts w:ascii="Times New Roman" w:hAnsi="Times New Roman"/>
          <w:b/>
          <w:i w:val="false"/>
          <w:color w:val="000000"/>
          <w:sz w:val="22"/>
        </w:rPr>
        <w:t>Tradeoff Source Selection Process:</w:t>
      </w:r>
    </w:p>
    <w:p>
      <w:pPr>
        <w:pBdr>
          <w:top w:space="5"/>
          <w:left w:space="5"/>
          <w:bottom w:space="5"/>
          <w:right w:space="5"/>
        </w:pBdr>
        <w:spacing w:after="0"/>
        <w:ind w:left="225"/>
        <w:jc w:val="center"/>
      </w:pPr>
      <w:r>
        <w:rPr>
          <w:rFonts w:ascii="Times New Roman" w:hAnsi="Times New Roman"/>
          <w:b/>
          <w:i w:val="false"/>
          <w:color w:val="000000"/>
          <w:sz w:val="22"/>
        </w:rPr>
        <w:t>Subjective Tradeoff and Value Adjusted Total Evaluated Price Tradeoff</w:t>
      </w:r>
    </w:p>
    <w:p>
      <w:pPr>
        <w:pBdr>
          <w:top w:space="5"/>
          <w:left w:space="5"/>
          <w:bottom w:space="5"/>
          <w:right w:space="5"/>
        </w:pBdr>
        <w:spacing w:after="0"/>
        <w:ind w:left="225"/>
        <w:jc w:val="left"/>
      </w:pPr>
      <w:r>
        <w:rPr>
          <w:rFonts w:ascii="Times New Roman" w:hAnsi="Times New Roman"/>
          <w:b/>
          <w:i/>
          <w:color w:val="000000"/>
          <w:sz w:val="22"/>
        </w:rPr>
        <w:t>B-1 Subjective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Where the tradeoff source selection process is used to obtain best value, </w:t>
      </w:r>
      <w:r>
        <w:rPr>
          <w:rFonts w:ascii="Times New Roman" w:hAnsi="Times New Roman"/>
          <w:b/>
          <w:i/>
          <w:color w:val="000000"/>
          <w:sz w:val="22"/>
        </w:rPr>
        <w:t>the subjective tradeoff process is appropriate for most Army source selections.</w:t>
      </w:r>
      <w:r>
        <w:rPr>
          <w:rFonts w:ascii="Times New Roman" w:hAnsi="Times New Roman"/>
          <w:b w:val="false"/>
          <w:i w:val="false"/>
          <w:color w:val="000000"/>
          <w:sz w:val="22"/>
        </w:rPr>
        <w:t xml:space="preserve"> The subjective tradeoff process provides the following benefits in source selection:</w:t>
      </w:r>
    </w:p>
    <w:p>
      <w:pPr>
        <w:numPr>
          <w:ilvl w:val="0"/>
          <w:numId w:val="1"/>
        </w:numPr>
        <w:spacing w:after="0"/>
        <w:jc w:val="left"/>
      </w:pPr>
      <w:r>
        <w:rPr>
          <w:rFonts w:ascii="Times New Roman" w:hAnsi="Times New Roman"/>
          <w:b w:val="false"/>
          <w:i w:val="false"/>
          <w:color w:val="000000"/>
          <w:sz w:val="22"/>
        </w:rPr>
        <w:t>The ability for offerors to propose various technical approaches that may be of benefit to the Government. The competitive environment should encourage the freedom to do so depending upon what the solicitation places the most value/importance upon;</w:t>
      </w:r>
    </w:p>
    <w:p>
      <w:pPr>
        <w:numPr>
          <w:ilvl w:val="0"/>
          <w:numId w:val="1"/>
        </w:numPr>
        <w:spacing w:after="0"/>
        <w:jc w:val="left"/>
      </w:pPr>
      <w:r>
        <w:rPr>
          <w:rFonts w:ascii="Times New Roman" w:hAnsi="Times New Roman"/>
          <w:b w:val="false"/>
          <w:i w:val="false"/>
          <w:color w:val="000000"/>
          <w:sz w:val="22"/>
        </w:rPr>
        <w:t>The ability to have meaningful comparisons and establish discriminators among competing proposals;</w:t>
      </w:r>
    </w:p>
    <w:p>
      <w:pPr>
        <w:numPr>
          <w:ilvl w:val="0"/>
          <w:numId w:val="1"/>
        </w:numPr>
        <w:spacing w:after="0"/>
        <w:jc w:val="left"/>
      </w:pPr>
      <w:r>
        <w:rPr>
          <w:rFonts w:ascii="Times New Roman" w:hAnsi="Times New Roman"/>
          <w:b w:val="false"/>
          <w:i w:val="false"/>
          <w:color w:val="000000"/>
          <w:sz w:val="22"/>
        </w:rPr>
        <w:t>The ability to place a greater value on past performance by enabling discernment of an offeror’s performance record;</w:t>
      </w:r>
    </w:p>
    <w:p>
      <w:pPr>
        <w:numPr>
          <w:ilvl w:val="0"/>
          <w:numId w:val="1"/>
        </w:numPr>
        <w:spacing w:after="0"/>
        <w:jc w:val="left"/>
      </w:pPr>
      <w:r>
        <w:rPr>
          <w:rFonts w:ascii="Times New Roman" w:hAnsi="Times New Roman"/>
          <w:b w:val="false"/>
          <w:i w:val="false"/>
          <w:color w:val="000000"/>
          <w:sz w:val="22"/>
        </w:rPr>
        <w:t>The ability of the SSA to give consideration to the benefit/value of non-cost/price factor differences between offerors and to determine if those differences justify paying the cost/price differential between them.</w:t>
      </w:r>
    </w:p>
    <w:p>
      <w:pPr>
        <w:pBdr>
          <w:top w:space="5"/>
          <w:left w:space="5"/>
          <w:bottom w:space="5"/>
          <w:right w:space="5"/>
        </w:pBdr>
        <w:spacing w:after="0"/>
        <w:ind w:left="225"/>
        <w:jc w:val="left"/>
      </w:pPr>
      <w:r>
        <w:rPr>
          <w:rFonts w:ascii="Times New Roman" w:hAnsi="Times New Roman"/>
          <w:b w:val="false"/>
          <w:i w:val="false"/>
          <w:color w:val="000000"/>
          <w:sz w:val="22"/>
        </w:rPr>
        <w:t>When using this process, clearly:</w:t>
      </w:r>
    </w:p>
    <w:p>
      <w:pPr>
        <w:numPr>
          <w:ilvl w:val="0"/>
          <w:numId w:val="2"/>
        </w:numPr>
        <w:spacing w:after="0"/>
        <w:jc w:val="left"/>
      </w:pPr>
      <w:r>
        <w:rPr>
          <w:rFonts w:ascii="Times New Roman" w:hAnsi="Times New Roman"/>
          <w:b w:val="false"/>
          <w:i w:val="false"/>
          <w:color w:val="000000"/>
          <w:sz w:val="22"/>
        </w:rPr>
        <w:t>State the relative importance of the factors and subfactors;</w:t>
      </w:r>
    </w:p>
    <w:p>
      <w:pPr>
        <w:numPr>
          <w:ilvl w:val="0"/>
          <w:numId w:val="2"/>
        </w:numPr>
        <w:spacing w:after="0"/>
        <w:jc w:val="left"/>
      </w:pPr>
      <w:r>
        <w:rPr>
          <w:rFonts w:ascii="Times New Roman" w:hAnsi="Times New Roman"/>
          <w:b w:val="false"/>
          <w:i w:val="false"/>
          <w:color w:val="000000"/>
          <w:sz w:val="22"/>
        </w:rPr>
        <w:t>Describe in Section L approaches or capabilities that the Government places a higher value on for exceeding the threshold (minimum) requirements if applicable, and;</w:t>
      </w:r>
    </w:p>
    <w:p>
      <w:pPr>
        <w:numPr>
          <w:ilvl w:val="0"/>
          <w:numId w:val="2"/>
        </w:numPr>
        <w:spacing w:after="0"/>
        <w:jc w:val="left"/>
      </w:pPr>
      <w:r>
        <w:rPr>
          <w:rFonts w:ascii="Times New Roman" w:hAnsi="Times New Roman"/>
          <w:b w:val="false"/>
          <w:i w:val="false"/>
          <w:color w:val="000000"/>
          <w:sz w:val="22"/>
        </w:rPr>
        <w:t>Describe in Section M how the Government will assign findings (strengths or significant strengths) correlated to the expected positive impact of, or benefit received, where the offeror exceeds threshold requirements when evaluating these areas.</w:t>
      </w:r>
    </w:p>
    <w:p>
      <w:pPr>
        <w:pBdr>
          <w:top w:space="5"/>
          <w:left w:space="5"/>
          <w:bottom w:space="5"/>
          <w:right w:space="5"/>
        </w:pBdr>
        <w:spacing w:after="0"/>
        <w:ind w:left="225"/>
        <w:jc w:val="left"/>
      </w:pPr>
      <w:r>
        <w:rPr>
          <w:rFonts w:ascii="Times New Roman" w:hAnsi="Times New Roman"/>
          <w:b/>
          <w:i/>
          <w:color w:val="000000"/>
          <w:sz w:val="22"/>
        </w:rPr>
        <w:t>Use of Entry-Gate Criteria –</w:t>
      </w:r>
      <w:r>
        <w:rPr>
          <w:rFonts w:ascii="Times New Roman" w:hAnsi="Times New Roman"/>
          <w:b w:val="false"/>
          <w:i w:val="false"/>
          <w:color w:val="000000"/>
          <w:sz w:val="22"/>
        </w:rPr>
        <w:t xml:space="preserve"> As part of the subjective tradeoff source selection process, the DOD Source Selection Procedures allows for the use of entry-gate criteria. This is considered a combination approach utilizing concepts from both LPTA and Subjective Tradeoff. When determining your evaluation criteria, the PM and the PCO should closely examine the key requirements and carefully consider whether some objective elements (i.e. entry-gate criteria) could be evaluated using an acceptable/unacceptable or pass/fail rating methodology. During the evaluation of proposals, offerors must be determined to be acceptable or pass the entry-gate criteria in order to advance in the subjective tradeoff evaluation. When the requirement can be clearly stated with a corresponding standard of proof, using this combination approach with entry-gate criteria can simplify and streamline the evaluation process. See also Appendix C for more information on acceptable/ unacceptable criteria.</w:t>
      </w:r>
    </w:p>
    <w:p>
      <w:pPr>
        <w:pBdr>
          <w:top w:space="5"/>
          <w:left w:space="5"/>
          <w:bottom w:space="5"/>
          <w:right w:space="5"/>
        </w:pBdr>
        <w:spacing w:after="0"/>
        <w:ind w:left="225"/>
        <w:jc w:val="left"/>
      </w:pPr>
      <w:r>
        <w:rPr>
          <w:rFonts w:ascii="Times New Roman" w:hAnsi="Times New Roman"/>
          <w:b/>
          <w:i/>
          <w:color w:val="000000"/>
          <w:sz w:val="22"/>
        </w:rPr>
        <w:t>B-2 Value Adjusted Total Evaluated Price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VATEP may be appropriate where the PM is able to establish an affordability cap (limits on pursuing any above-threshold requirements), determine a relative order of importance for above-minimum performance or criteria, and assign a monetary value. </w:t>
      </w:r>
      <w:r>
        <w:rPr>
          <w:rFonts w:ascii="Times New Roman" w:hAnsi="Times New Roman"/>
          <w:b/>
          <w:i/>
          <w:color w:val="000000"/>
          <w:sz w:val="22"/>
        </w:rPr>
        <w:t>Use of VATEP may be most suitable for</w:t>
      </w:r>
      <w:r>
        <w:rPr>
          <w:rFonts w:ascii="Times New Roman" w:hAnsi="Times New Roman"/>
          <w:b/>
          <w:i/>
          <w:color w:val="000000"/>
          <w:sz w:val="22"/>
        </w:rPr>
        <w:t>procuring developmental items, where the Government can determine the value (or worth) of “better performance” and quantify it in the RFP.</w:t>
      </w:r>
    </w:p>
    <w:p>
      <w:pPr>
        <w:pBdr>
          <w:top w:space="5"/>
          <w:left w:space="5"/>
          <w:bottom w:space="5"/>
          <w:right w:space="5"/>
        </w:pBdr>
        <w:spacing w:after="0"/>
        <w:ind w:left="225"/>
        <w:jc w:val="center"/>
      </w:pPr>
      <w:r>
        <w:rPr>
          <w:rFonts w:ascii="Times New Roman" w:hAnsi="Times New Roman"/>
          <w:b/>
          <w:i w:val="false"/>
          <w:color w:val="000000"/>
          <w:sz w:val="22"/>
        </w:rPr>
        <w:t>VATEP Example 1</w:t>
      </w:r>
    </w:p>
    <w:p>
      <w:pPr>
        <w:pBdr>
          <w:top w:space="5"/>
          <w:left w:space="5"/>
          <w:bottom w:space="5"/>
          <w:right w:space="5"/>
        </w:pBdr>
        <w:spacing w:after="0"/>
        <w:ind w:left="225"/>
        <w:jc w:val="left"/>
      </w:pPr>
      <w:r>
        <w:rPr>
          <w:rFonts w:ascii="Times New Roman" w:hAnsi="Times New Roman"/>
          <w:b/>
          <w:i w:val="false"/>
          <w:color w:val="000000"/>
          <w:sz w:val="22"/>
        </w:rPr>
        <w:t>Scenario:</w:t>
      </w:r>
      <w:r>
        <w:rPr>
          <w:rFonts w:ascii="Times New Roman" w:hAnsi="Times New Roman"/>
          <w:b w:val="false"/>
          <w:i w:val="false"/>
          <w:color w:val="000000"/>
          <w:sz w:val="22"/>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i w:val="false"/>
          <w:color w:val="000000"/>
          <w:sz w:val="22"/>
        </w:rPr>
        <w:t>:</w:t>
      </w:r>
      <w:r>
        <w:rPr>
          <w:rFonts w:ascii="Times New Roman" w:hAnsi="Times New Roman"/>
          <w:b w:val="false"/>
          <w:i w:val="false"/>
          <w:color w:val="000000"/>
          <w:sz w:val="22"/>
        </w:rPr>
        <w:t xml:space="preserve"> At the end of the paragraph, “Basis of Award”, insert the following language:This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applied:An offeror can earn VATEP evaluation credit for meeting performance between the threshold and objective for the Air Movement Mission-Range and Payload and/or Cruise Airspeed requirements. An offeror can also earn VATEP evaluation credit for meeting the objective for the Self-Deployment Mission. The VATEP eligible objectives shall be embodied in the FUA Aircraft and also priced and delivered in Contract Line Item Number (CLIN) X001AA.The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15"/>
        <w:gridCol w:w="2715"/>
        <w:gridCol w:w="2715"/>
        <w:gridCol w:w="2715"/>
        <w:gridCol w:w="2714"/>
      </w:tblGrid>
      <w:tr>
        <w:trPr>
          <w:trHeight w:val="1875"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Specification Paragraph</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 Reduction in CLIN X001AA Proposed Price</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4185"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Air Movement Mission-Range and Payload</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6.3.2</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2100)/600*3%</w:t>
            </w:r>
          </w:p>
          <w:p>
            <w:pPr>
              <w:pBdr>
                <w:top w:space="5"/>
                <w:left w:space="5"/>
                <w:bottom w:space="5"/>
                <w:right w:space="5"/>
              </w:pBdr>
              <w:spacing w:after="0"/>
              <w:ind w:left="240"/>
              <w:jc w:val="left"/>
            </w:pPr>
            <w:r>
              <w:rPr>
                <w:rFonts w:ascii="Times New Roman" w:hAnsi="Times New Roman"/>
                <w:b w:val="false"/>
                <w:i w:val="false"/>
                <w:color w:val="000000"/>
                <w:sz w:val="22"/>
              </w:rPr>
              <w:t>[Not-to-Exceed 3%)</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2100 is the threshold and 600 is the delta between the threshold and objective</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0"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Self-Deployment</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6.3.1</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is binary. An Offerors proposal will either meet or fail to meet the objective.</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Cruise Airspeed</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6.1.6</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cruise airspeed less the threshold of 250)/150*1%</w:t>
            </w:r>
          </w:p>
          <w:p>
            <w:pPr>
              <w:pBdr>
                <w:top w:space="5"/>
                <w:left w:space="5"/>
                <w:bottom w:space="5"/>
                <w:right w:space="5"/>
              </w:pBdr>
              <w:spacing w:after="0"/>
              <w:ind w:left="240"/>
              <w:jc w:val="left"/>
            </w:pPr>
            <w:r>
              <w:rPr>
                <w:rFonts w:ascii="Times New Roman" w:hAnsi="Times New Roman"/>
                <w:b w:val="false"/>
                <w:i w:val="false"/>
                <w:color w:val="000000"/>
                <w:sz w:val="22"/>
              </w:rPr>
              <w:t>[Not-to-Exceed 1%]</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 250 is the threshold and 150 is the delta between the threshold and objective</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w:t>
      </w:r>
      <w:r>
        <w:rPr>
          <w:rFonts w:ascii="Times New Roman" w:hAnsi="Times New Roman"/>
          <w:b w:val="false"/>
          <w:i/>
          <w:color w:val="000000"/>
          <w:sz w:val="22"/>
        </w:rPr>
        <w:t>VATEP</w:t>
      </w:r>
      <w:r>
        <w:rPr>
          <w:rFonts w:ascii="Times New Roman" w:hAnsi="Times New Roman"/>
          <w:b w:val="false"/>
          <w:i/>
          <w:color w:val="000000"/>
          <w:sz w:val="22"/>
        </w:rPr>
        <w:t>is a technique used for evaluation purposes only. The value adjusted total evaluated price will not change the proposed unit prices set forth in Section B of the proposal, nor will it change the estimated contract value for award purposes.</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L-5 (VATEP Calculations) to facilitate the Government’s review process.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NOTE:</w:t>
      </w:r>
      <w:r>
        <w:rPr>
          <w:rFonts w:ascii="Times New Roman" w:hAnsi="Times New Roman"/>
          <w:b w:val="false"/>
          <w:i w:val="false"/>
          <w:color w:val="000000"/>
          <w:sz w:val="22"/>
        </w:rPr>
        <w:t xml:space="preserve"> RFP Attachment L-5 contains the chart identified in Section M above.)</w:t>
      </w:r>
    </w:p>
    <w:p>
      <w:pPr>
        <w:pBdr>
          <w:top w:space="5"/>
          <w:left w:space="5"/>
          <w:bottom w:space="5"/>
          <w:right w:space="5"/>
        </w:pBdr>
        <w:spacing w:after="0"/>
        <w:ind w:left="225"/>
        <w:jc w:val="center"/>
      </w:pPr>
      <w:r>
        <w:rPr>
          <w:rFonts w:ascii="Times New Roman" w:hAnsi="Times New Roman"/>
          <w:b/>
          <w:i w:val="false"/>
          <w:color w:val="000000"/>
          <w:sz w:val="22"/>
        </w:rPr>
        <w:t>VATEP Example 2</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val="false"/>
          <w:color w:val="000000"/>
          <w:sz w:val="22"/>
        </w:rPr>
        <w:t xml:space="preserve"> The Army is buying a large equipment trailer (LET) using VATEP, and one of the requirements is maximum payload. The threshold is 80,000 lbs, and the objective is 85,000. As stated in the RFP, During Step 2 of the VATEP process the SST will adjust each offeror’s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val="false"/>
          <w:i w:val="false"/>
          <w:color w:val="000000"/>
          <w:sz w:val="22"/>
        </w:rPr>
        <w:t>In this example, four proposals are received:</w:t>
      </w:r>
    </w:p>
    <w:p>
      <w:pPr>
        <w:numPr>
          <w:ilvl w:val="0"/>
          <w:numId w:val="3"/>
        </w:numPr>
        <w:spacing w:after="0"/>
        <w:jc w:val="left"/>
      </w:pPr>
      <w:r>
        <w:rPr>
          <w:rFonts w:ascii="Times New Roman" w:hAnsi="Times New Roman"/>
          <w:b w:val="false"/>
          <w:i w:val="false"/>
          <w:color w:val="000000"/>
          <w:sz w:val="22"/>
        </w:rPr>
        <w:t>Offeror A: TPP=$1,050,000; at least an “acceptable” rating for all minimum requirements, proposes a maximum payload of 83,500 lbs, an increase of 3,500 lbs. over the threshold.</w:t>
      </w:r>
    </w:p>
    <w:p>
      <w:pPr>
        <w:numPr>
          <w:ilvl w:val="0"/>
          <w:numId w:val="3"/>
        </w:numPr>
        <w:spacing w:after="0"/>
        <w:jc w:val="left"/>
      </w:pPr>
      <w:r>
        <w:rPr>
          <w:rFonts w:ascii="Times New Roman" w:hAnsi="Times New Roman"/>
          <w:b w:val="false"/>
          <w:i w:val="false"/>
          <w:color w:val="000000"/>
          <w:sz w:val="22"/>
        </w:rPr>
        <w:t>Offeror B: TPP=$1,000,000; at least an “acceptable” rating for all minimum requirements, proposes the threshold maximum payload of 80,000 lbs.</w:t>
      </w:r>
    </w:p>
    <w:p>
      <w:pPr>
        <w:numPr>
          <w:ilvl w:val="0"/>
          <w:numId w:val="3"/>
        </w:numPr>
        <w:spacing w:after="0"/>
        <w:jc w:val="left"/>
      </w:pPr>
      <w:r>
        <w:rPr>
          <w:rFonts w:ascii="Times New Roman" w:hAnsi="Times New Roman"/>
          <w:b w:val="false"/>
          <w:i w:val="false"/>
          <w:color w:val="000000"/>
          <w:sz w:val="22"/>
        </w:rPr>
        <w:t>Offeror C: TPP=$1,150,000; at least an “acceptable” rating for all minimum requirements, proposes a maximum payload at the objective level of 85,000 lbs, an increase of 5,000 lbs over the threshold</w:t>
      </w:r>
    </w:p>
    <w:p>
      <w:pPr>
        <w:numPr>
          <w:ilvl w:val="0"/>
          <w:numId w:val="3"/>
        </w:numPr>
        <w:spacing w:after="0"/>
        <w:jc w:val="left"/>
      </w:pPr>
      <w:r>
        <w:rPr>
          <w:rFonts w:ascii="Times New Roman" w:hAnsi="Times New Roman"/>
          <w:b w:val="false"/>
          <w:i w:val="false"/>
          <w:color w:val="000000"/>
          <w:sz w:val="22"/>
        </w:rPr>
        <w:t xml:space="preserve">Offeror D: TPP=$950,000; “unacceptable” for two minimum requirements, proposes a maximum payload at the objective level of 85,000 lbs, an increase of 5,000 lbs. over the threshold. </w:t>
      </w:r>
      <w:r>
        <w:rPr>
          <w:rFonts w:ascii="Times New Roman" w:hAnsi="Times New Roman"/>
          <w:b w:val="false"/>
          <w:i/>
          <w:color w:val="000000"/>
          <w:sz w:val="22"/>
        </w:rPr>
        <w:t>Offeror</w:t>
      </w:r>
      <w:r>
        <w:rPr>
          <w:rFonts w:ascii="Times New Roman" w:hAnsi="Times New Roman"/>
          <w:b w:val="false"/>
          <w:i/>
          <w:color w:val="000000"/>
          <w:sz w:val="22"/>
        </w:rPr>
        <w:t>D is eliminated in Step 1.</w:t>
      </w:r>
    </w:p>
    <w:p>
      <w:pPr>
        <w:pBdr>
          <w:top w:space="5"/>
          <w:left w:space="5"/>
          <w:bottom w:space="5"/>
          <w:right w:space="5"/>
        </w:pBdr>
        <w:spacing w:after="0"/>
        <w:ind w:left="225"/>
        <w:jc w:val="left"/>
      </w:pPr>
      <w:r>
        <w:rPr>
          <w:rFonts w:ascii="Times New Roman" w:hAnsi="Times New Roman"/>
          <w:b w:val="false"/>
          <w:i w:val="false"/>
          <w:color w:val="000000"/>
          <w:sz w:val="22"/>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p>
    <w:p>
      <w:pPr>
        <w:numPr>
          <w:ilvl w:val="0"/>
          <w:numId w:val="4"/>
        </w:numPr>
        <w:spacing w:after="0"/>
        <w:jc w:val="left"/>
      </w:pPr>
      <w:r>
        <w:rPr>
          <w:rFonts w:ascii="Times New Roman" w:hAnsi="Times New Roman"/>
          <w:b w:val="false"/>
          <w:i w:val="false"/>
          <w:color w:val="000000"/>
          <w:sz w:val="22"/>
        </w:rPr>
        <w:t>Offeror A has proposed an increase of 3,500 lbs, which leads to a decrease of their TPP by $70,000, for a TEP of $980,000.</w:t>
      </w:r>
    </w:p>
    <w:p>
      <w:pPr>
        <w:numPr>
          <w:ilvl w:val="0"/>
          <w:numId w:val="4"/>
        </w:numPr>
        <w:spacing w:after="0"/>
        <w:jc w:val="left"/>
      </w:pPr>
      <w:r>
        <w:rPr>
          <w:rFonts w:ascii="Times New Roman" w:hAnsi="Times New Roman"/>
          <w:b w:val="false"/>
          <w:i w:val="false"/>
          <w:color w:val="000000"/>
          <w:sz w:val="22"/>
        </w:rPr>
        <w:t>Offeror B has proposed the threshold, and receives no adjustment to their TPP. Therefore, their TEP is $1,000,000.</w:t>
      </w:r>
    </w:p>
    <w:p>
      <w:pPr>
        <w:numPr>
          <w:ilvl w:val="0"/>
          <w:numId w:val="4"/>
        </w:numPr>
        <w:spacing w:after="0"/>
        <w:jc w:val="left"/>
      </w:pPr>
      <w:r>
        <w:rPr>
          <w:rFonts w:ascii="Times New Roman" w:hAnsi="Times New Roman"/>
          <w:b w:val="false"/>
          <w:i w:val="false"/>
          <w:color w:val="000000"/>
          <w:sz w:val="22"/>
        </w:rPr>
        <w:t>Offeror C has a proposed increase of 5,000 lbs, which leads to a decrease of their TPP by the maximum amount of $100,000, for a TEP of $1,050,000.</w:t>
      </w:r>
    </w:p>
    <w:p>
      <w:pPr>
        <w:pBdr>
          <w:top w:space="5"/>
          <w:left w:space="5"/>
          <w:bottom w:space="5"/>
          <w:right w:space="5"/>
        </w:pBdr>
        <w:spacing w:after="0"/>
        <w:ind w:left="225"/>
        <w:jc w:val="left"/>
      </w:pPr>
      <w:r>
        <w:drawing>
          <wp:inline distT="0" distB="0" distL="0" distR="0">
            <wp:extent cx="5943600" cy="329784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943600" cy="3297847"/>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i w:val="false"/>
          <w:color w:val="000000"/>
          <w:sz w:val="22"/>
        </w:rPr>
        <w:t>Requiremen</w:t>
      </w:r>
      <w:r>
        <w:rPr>
          <w:rFonts w:ascii="Times New Roman" w:hAnsi="Times New Roman"/>
          <w:b w:val="false"/>
          <w:i w:val="false"/>
          <w:color w:val="000000"/>
          <w:sz w:val="22"/>
        </w:rPr>
        <w:t>t: The US Government (USG) is soliciting for a large equipment trailer (LET). The LET has a rated payload of a minimum of 80,000 lbs (40 tons), with an objective payload of 85,000 lbs (42.5 tons). The LET is to be used to transport a variety of equipment. The LET will be employed for use on primary and secondary roads. The payload objective will be used to determine a Value Adjusted Total Evaluated Price (VATEP).</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val="false"/>
          <w:i w:val="false"/>
          <w:color w:val="000000"/>
          <w:sz w:val="22"/>
        </w:rPr>
        <w:t>: At the end of the “Basis of Award” paragraph, insert the following language:</w:t>
      </w:r>
    </w:p>
    <w:p>
      <w:pPr>
        <w:pBdr>
          <w:top w:space="5"/>
          <w:left w:space="5"/>
          <w:bottom w:space="5"/>
          <w:right w:space="5"/>
        </w:pBdr>
        <w:spacing w:after="0"/>
        <w:ind w:left="225"/>
        <w:jc w:val="left"/>
      </w:pPr>
      <w:r>
        <w:rPr>
          <w:rFonts w:ascii="Times New Roman" w:hAnsi="Times New Roman"/>
          <w:b w:val="false"/>
          <w:i w:val="false"/>
          <w:color w:val="000000"/>
          <w:sz w:val="22"/>
        </w:rPr>
        <w:t>This RFP employs the use of the Value Adjusted Total Evaluated Price (VATEP) technique, which identifies in advance the value placed on above-threshold performance for the payload requirement. The specific VATEP procedures and value for this effort are set forth below.The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lbs of increased payload, the total evaluated price (TEP) will be reduced by $1,000, for a maximum adjustment to TEP of $100,000. No credit will be provided above the maximum for performance over the objective.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15"/>
        <w:gridCol w:w="2715"/>
        <w:gridCol w:w="2715"/>
        <w:gridCol w:w="2715"/>
        <w:gridCol w:w="2714"/>
      </w:tblGrid>
      <w:tr>
        <w:trPr>
          <w:trHeight w:val="1875"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ATPD Paragraph</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Reduction to Total Evaluated Price</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5190"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Payload</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4.3.2</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$100,000</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8000)/50*$1,000</w:t>
            </w:r>
          </w:p>
          <w:p>
            <w:pPr>
              <w:pBdr>
                <w:top w:space="5"/>
                <w:left w:space="5"/>
                <w:bottom w:space="5"/>
                <w:right w:space="5"/>
              </w:pBdr>
              <w:spacing w:after="0"/>
              <w:ind w:left="240"/>
              <w:jc w:val="left"/>
            </w:pPr>
            <w:r>
              <w:rPr>
                <w:rFonts w:ascii="Times New Roman" w:hAnsi="Times New Roman"/>
                <w:b w:val="false"/>
                <w:i w:val="false"/>
                <w:color w:val="000000"/>
                <w:sz w:val="22"/>
              </w:rPr>
              <w:t>[Not-to-Exceed $100,000 total reduction]</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8000 is the threshold and 5,000 is the delta between the threshold and objective</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decision.The VATEP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L-X (VATEP Calculations) to facilitate the Government review process.</w:t>
      </w:r>
    </w:p>
    <w:p>
      <w:pPr>
        <w:pBdr>
          <w:top w:space="5"/>
          <w:left w:space="5"/>
          <w:bottom w:space="5"/>
          <w:right w:space="5"/>
        </w:pBdr>
        <w:spacing w:after="0"/>
        <w:ind w:left="225"/>
        <w:jc w:val="left"/>
      </w:pPr>
      <w:r>
        <w:rPr>
          <w:rFonts w:ascii="Times New Roman" w:hAnsi="Times New Roman"/>
          <w:b w:val="false"/>
          <w:i w:val="false"/>
          <w:color w:val="000000"/>
          <w:sz w:val="22"/>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jpe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