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4.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**ID__AFARS_APPENDIX-AA_Chapter-5_APPENDIX-F_OLRA__ID**</w:t>
      </w:r>
    </w:p>
    <w:p>
      <w:pPr>
        <w:pStyle w:val="Heading4"/>
        <w:spacing w:after="269"/>
        <w:ind w:left="120"/>
        <w:jc w:val="center"/>
      </w:pPr>
      <w:r>
        <w:rPr>
          <w:rFonts w:ascii="Times New Roman" w:hAnsi="Times New Roman"/>
          <w:i w:val="false"/>
          <w:color w:val="000000"/>
        </w:rPr>
        <w:t>On–Line Reverse Auctions</w:t>
      </w:r>
    </w:p>
    <w:p>
      <w:pPr>
        <w:pBdr>
          <w:top w:space="5"/>
          <w:left w:space="5"/>
          <w:bottom w:space="5"/>
          <w:right w:space="5"/>
        </w:pBdr>
        <w:spacing w:after="0"/>
        <w:ind w:left="225"/>
        <w:jc w:val="left"/>
      </w:pPr>
      <w:r>
        <w:rPr>
          <w:rFonts w:ascii="Times New Roman" w:hAnsi="Times New Roman"/>
          <w:b/>
          <w:i/>
          <w:color w:val="000000"/>
          <w:sz w:val="22"/>
        </w:rPr>
        <w:t>F-1</w:t>
      </w:r>
      <w:r>
        <w:rPr>
          <w:rFonts w:ascii="Times New Roman" w:hAnsi="Times New Roman"/>
          <w:b/>
          <w:i/>
          <w:color w:val="000000"/>
          <w:sz w:val="22"/>
        </w:rPr>
        <w:t>Definition</w:t>
      </w:r>
    </w:p>
    <w:p>
      <w:pPr>
        <w:pBdr>
          <w:top w:space="5"/>
          <w:left w:space="5"/>
          <w:bottom w:space="5"/>
          <w:right w:space="5"/>
        </w:pBdr>
        <w:spacing w:after="0"/>
        <w:ind w:left="225"/>
        <w:jc w:val="left"/>
      </w:pPr>
      <w:r>
        <w:rPr>
          <w:rFonts w:ascii="Times New Roman" w:hAnsi="Times New Roman"/>
          <w:b w:val="false"/>
          <w:i w:val="false"/>
          <w:color w:val="000000"/>
          <w:sz w:val="22"/>
        </w:rPr>
        <w:t>An on-line Reverse Auction (RA) is an internet-based (electronic commerce) acquisition tool that allows the government to procure goods and services from suppliers in a competitive environment in which sellers, anonymously, bid prices down until the auction is complete.</w:t>
      </w:r>
    </w:p>
    <w:p>
      <w:pPr>
        <w:pBdr>
          <w:top w:space="5"/>
          <w:left w:space="5"/>
          <w:bottom w:space="5"/>
          <w:right w:space="5"/>
        </w:pBdr>
        <w:spacing w:after="0"/>
        <w:ind w:left="225"/>
        <w:jc w:val="left"/>
      </w:pPr>
      <w:r>
        <w:rPr>
          <w:rFonts w:ascii="Times New Roman" w:hAnsi="Times New Roman"/>
          <w:b w:val="false"/>
          <w:i w:val="false"/>
          <w:color w:val="000000"/>
          <w:sz w:val="22"/>
        </w:rPr>
        <w:t>A reverse auction is simply the opposite of a traditional auction. In a traditional auction, the seller offers an item for sale and multiple potential buyers submit sequentially higher bids for the item. Conversely, in a reverse auction, there are multiple sellers of items that compete for the business of a single buyer. During this competition the sellers ultimately drive the price of the item down.</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3574"/>
      </w:tblGrid>
      <w:tr>
        <w:trPr>
          <w:trHeight w:val="3945" w:hRule="atLeast"/>
        </w:trPr>
        <w:tc>
          <w:tcPr>
            <w:tcW w:w="135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ON-LINE REVERSE AUCTION TOOLS ARE BEST USED FOR:</w:t>
            </w:r>
          </w:p>
          <w:p>
            <w:pPr>
              <w:pBdr>
                <w:top w:space="5"/>
                <w:left w:space="5"/>
                <w:bottom w:space="5"/>
                <w:right w:space="5"/>
              </w:pBdr>
              <w:spacing w:after="0"/>
              <w:ind w:left="240"/>
              <w:jc w:val="center"/>
            </w:pPr>
            <w:r>
              <w:drawing>
                <wp:inline distT="0" distB="0" distL="0" distR="0">
                  <wp:extent cx="2286000" cy="16383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2286000" cy="1638300"/>
                          </a:xfrm>
                          <a:prstGeom prst="rect">
                            <a:avLst/>
                          </a:prstGeom>
                        </pic:spPr>
                      </pic:pic>
                    </a:graphicData>
                  </a:graphic>
                </wp:inline>
              </w:drawing>
            </w:r>
          </w:p>
          <w:p>
            <w:pPr>
              <w:numPr>
                <w:ilvl w:val="0"/>
                <w:numId w:val="1"/>
              </w:numPr>
              <w:spacing w:after="0"/>
              <w:ind w:left="845" w:hanging="360"/>
              <w:jc w:val="left"/>
            </w:pPr>
            <w:r>
              <w:rPr>
                <w:rFonts w:ascii="Times New Roman" w:hAnsi="Times New Roman"/>
                <w:b w:val="false"/>
                <w:i w:val="false"/>
                <w:color w:val="000000"/>
                <w:sz w:val="22"/>
              </w:rPr>
              <w:t>Healthy price competition</w:t>
            </w:r>
          </w:p>
          <w:p>
            <w:pPr>
              <w:numPr>
                <w:ilvl w:val="0"/>
                <w:numId w:val="1"/>
              </w:numPr>
              <w:spacing w:after="0"/>
              <w:ind w:left="845" w:hanging="360"/>
              <w:jc w:val="left"/>
            </w:pPr>
            <w:r>
              <w:rPr>
                <w:rFonts w:ascii="Times New Roman" w:hAnsi="Times New Roman"/>
                <w:b w:val="false"/>
                <w:i w:val="false"/>
                <w:color w:val="000000"/>
                <w:sz w:val="22"/>
              </w:rPr>
              <w:t>A well-defined requirement</w:t>
            </w:r>
          </w:p>
          <w:p>
            <w:pPr>
              <w:numPr>
                <w:ilvl w:val="0"/>
                <w:numId w:val="1"/>
              </w:numPr>
              <w:spacing w:after="0"/>
              <w:ind w:left="845" w:hanging="360"/>
              <w:jc w:val="left"/>
            </w:pPr>
            <w:r>
              <w:rPr>
                <w:rFonts w:ascii="Times New Roman" w:hAnsi="Times New Roman"/>
                <w:b w:val="false"/>
                <w:i w:val="false"/>
                <w:color w:val="000000"/>
                <w:sz w:val="22"/>
              </w:rPr>
              <w:t>Bulk commodity type procurements (i.e. IT equipment, spare parts)</w:t>
            </w:r>
          </w:p>
          <w:p>
            <w:pPr>
              <w:numPr>
                <w:ilvl w:val="0"/>
                <w:numId w:val="1"/>
              </w:numPr>
              <w:spacing w:after="0"/>
              <w:ind w:left="845" w:hanging="360"/>
              <w:jc w:val="left"/>
            </w:pPr>
            <w:r>
              <w:rPr>
                <w:rFonts w:ascii="Times New Roman" w:hAnsi="Times New Roman"/>
                <w:b w:val="false"/>
                <w:i w:val="false"/>
                <w:color w:val="000000"/>
                <w:sz w:val="22"/>
              </w:rPr>
              <w:t>Procurements in which there is a well-defined supplier base</w:t>
            </w:r>
          </w:p>
          <w:p>
            <w:pPr>
              <w:numPr>
                <w:ilvl w:val="0"/>
                <w:numId w:val="1"/>
              </w:numPr>
              <w:spacing w:after="0"/>
              <w:ind w:left="845" w:hanging="360"/>
              <w:jc w:val="left"/>
            </w:pPr>
            <w:r>
              <w:rPr>
                <w:rFonts w:ascii="Times New Roman" w:hAnsi="Times New Roman"/>
                <w:b w:val="false"/>
                <w:i w:val="false"/>
                <w:color w:val="000000"/>
                <w:sz w:val="22"/>
              </w:rPr>
              <w:t>Procurements where the award evaluation criteria is not subject to interpretation (i.e. lowest price versus multiple criteria for tradeoffs and subjective judgments)</w:t>
            </w:r>
          </w:p>
        </w:tc>
      </w:tr>
    </w:tbl>
    <w:p>
      <w:pPr>
        <w:pBdr>
          <w:top w:space="5"/>
          <w:left w:space="5"/>
          <w:bottom w:space="5"/>
          <w:right w:space="5"/>
        </w:pBdr>
        <w:spacing w:after="0"/>
        <w:ind w:left="225"/>
        <w:jc w:val="left"/>
      </w:pPr>
      <w:r>
        <w:rPr>
          <w:rFonts w:ascii="Times New Roman" w:hAnsi="Times New Roman"/>
          <w:b/>
          <w:i/>
          <w:color w:val="000000"/>
          <w:sz w:val="22"/>
        </w:rPr>
        <w:t>F-2</w:t>
      </w:r>
      <w:r>
        <w:rPr>
          <w:rFonts w:ascii="Times New Roman" w:hAnsi="Times New Roman"/>
          <w:b/>
          <w:i/>
          <w:color w:val="000000"/>
          <w:sz w:val="22"/>
        </w:rPr>
        <w:t>Applicability to Best Value Acquisitions</w:t>
      </w:r>
    </w:p>
    <w:p>
      <w:pPr>
        <w:pBdr>
          <w:top w:space="5"/>
          <w:left w:space="5"/>
          <w:bottom w:space="5"/>
          <w:right w:space="5"/>
        </w:pBdr>
        <w:spacing w:after="0"/>
        <w:ind w:left="225"/>
        <w:jc w:val="left"/>
      </w:pPr>
      <w:r>
        <w:rPr>
          <w:rFonts w:ascii="Times New Roman" w:hAnsi="Times New Roman"/>
          <w:b w:val="false"/>
          <w:i w:val="false"/>
          <w:color w:val="000000"/>
          <w:sz w:val="22"/>
        </w:rPr>
        <w:t>On-line RAs are legal as long as the identity of the bidders is not disclosed. On-line RA tools may be used as a pricing tool for LPTAs or tradeoff acquisitions. For example, an RA tool can be used as a pricing tool for a tradeoff acquisition after the completion of technical discussion. You may conduct a reverse auction to establish the offerors’ final prices, provide these prices, along with the rest of the evaluation results, to the SSA for his/her use in selecting the proposal that represents the best value.</w:t>
      </w:r>
    </w:p>
    <w:p>
      <w:pPr>
        <w:pBdr>
          <w:top w:space="5"/>
          <w:left w:space="5"/>
          <w:bottom w:space="5"/>
          <w:right w:space="5"/>
        </w:pBdr>
        <w:spacing w:after="0"/>
        <w:ind w:left="225"/>
        <w:jc w:val="left"/>
      </w:pPr>
      <w:r>
        <w:rPr>
          <w:rFonts w:ascii="Times New Roman" w:hAnsi="Times New Roman"/>
          <w:b w:val="false"/>
          <w:i w:val="false"/>
          <w:color w:val="000000"/>
          <w:sz w:val="22"/>
        </w:rPr>
        <w:t>Potential benefits are: reduced acquisition cycle time and increased competition that in due course drive prices down as the offerors have visibility of the other prices being proposed. Additionally, the on-line RA process is inclusive, transparent, and immediately advantageous to both government and industry.</w:t>
      </w:r>
    </w:p>
    <w:p>
      <w:pPr>
        <w:pBdr>
          <w:top w:space="5"/>
          <w:left w:space="5"/>
          <w:bottom w:space="5"/>
          <w:right w:space="5"/>
        </w:pBdr>
        <w:spacing w:after="0"/>
        <w:ind w:left="225"/>
        <w:jc w:val="left"/>
      </w:pPr>
      <w:r>
        <w:rPr>
          <w:rFonts w:ascii="Times New Roman" w:hAnsi="Times New Roman"/>
          <w:b w:val="false"/>
          <w:i w:val="false"/>
          <w:color w:val="000000"/>
          <w:sz w:val="22"/>
        </w:rPr>
        <w:t>FAR Subpart 4.5 supports the use of electronic commerce whenever practical or cost-effective. On-line RAs should be utilized when it is anticipated that this method will deliver more value than the use of other available procurement methods. Additionally, RAs are more advantageous to the Government in reducing acquisition cycle time when the requirements are best suited for an RA environment.</w:t>
      </w:r>
    </w:p>
    <w:p>
      <w:pPr>
        <w:pBdr>
          <w:top w:space="5"/>
          <w:left w:space="5"/>
          <w:bottom w:space="5"/>
          <w:right w:space="5"/>
        </w:pBdr>
        <w:spacing w:after="0"/>
        <w:ind w:left="225"/>
        <w:jc w:val="left"/>
      </w:pPr>
      <w:r>
        <w:rPr>
          <w:rFonts w:ascii="Times New Roman" w:hAnsi="Times New Roman"/>
          <w:b/>
          <w:i/>
          <w:color w:val="000000"/>
          <w:sz w:val="22"/>
        </w:rPr>
        <w:t>F-3</w:t>
      </w:r>
      <w:r>
        <w:rPr>
          <w:rFonts w:ascii="Times New Roman" w:hAnsi="Times New Roman"/>
          <w:b/>
          <w:i/>
          <w:color w:val="000000"/>
          <w:sz w:val="22"/>
        </w:rPr>
        <w:t>Process</w:t>
      </w:r>
    </w:p>
    <w:p>
      <w:pPr>
        <w:pBdr>
          <w:top w:space="5"/>
          <w:left w:space="5"/>
          <w:bottom w:space="5"/>
          <w:right w:space="5"/>
        </w:pBdr>
        <w:spacing w:after="0"/>
        <w:ind w:left="225"/>
        <w:jc w:val="left"/>
      </w:pPr>
      <w:r>
        <w:rPr>
          <w:rFonts w:ascii="Times New Roman" w:hAnsi="Times New Roman"/>
          <w:b w:val="false"/>
          <w:i w:val="false"/>
          <w:color w:val="000000"/>
          <w:sz w:val="22"/>
        </w:rPr>
        <w:t>On-line RAs are conducted using a variety of procedures and automated tools. An agency may contract with an on-line auction service to conduct the reverse auction or it may conduct the reverse auction itself using commercially-available software.</w:t>
      </w:r>
    </w:p>
    <w:p>
      <w:pPr>
        <w:pBdr>
          <w:top w:space="5"/>
          <w:left w:space="5"/>
          <w:bottom w:space="5"/>
          <w:right w:space="5"/>
        </w:pBdr>
        <w:spacing w:after="0"/>
        <w:ind w:left="225"/>
        <w:jc w:val="left"/>
      </w:pPr>
      <w:r>
        <w:rPr>
          <w:rFonts w:ascii="Times New Roman" w:hAnsi="Times New Roman"/>
          <w:b w:val="false"/>
          <w:i w:val="false"/>
          <w:color w:val="000000"/>
          <w:sz w:val="22"/>
        </w:rPr>
        <w:t>In either case, the reverse auction must be conducted on a secure web-site and you must clearly state in the RFP the ground rules for the auction, particularly when the bidding will start and stop.</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edia/document_image_rId4.png" Type="http://schemas.openxmlformats.org/officeDocument/2006/relationships/image"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