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**ID__AFARS_AppendexBB-101__ID**</w:t>
      </w:r>
    </w:p>
    <w:p>
      <w:pPr>
        <w:pStyle w:val="Heading4"/>
        <w:spacing w:after="269"/>
        <w:ind w:left="120"/>
        <w:jc w:val="left"/>
      </w:pPr>
      <w:r>
        <w:rPr>
          <w:rFonts w:ascii="Times New Roman" w:hAnsi="Times New Roman"/>
          <w:i w:val="false"/>
          <w:color w:val="000000"/>
          <w:sz w:val="24"/>
        </w:rPr>
        <w:t>BB–101 Purpose.</w:t>
      </w:r>
    </w:p>
    <w:p>
      <w:pPr>
        <w:pStyle w:val="Normal"/>
        <w:pBdr>
          <w:top w:space="5"/>
          <w:left w:space="5"/>
          <w:bottom w:space="5"/>
          <w:right w:space="5"/>
        </w:pBdr>
        <w:spacing w:after="0"/>
        <w:ind w:left="225"/>
        <w:jc w:val="left"/>
      </w:pPr>
      <w:r>
        <w:rPr>
          <w:rFonts w:ascii="Times New Roman" w:hAnsi="Times New Roman"/>
          <w:color w:val="000000"/>
        </w:rPr>
        <w:t>This AFARS appendix establishes key internal controls for management of contracting functions and the method for evaluating the effectiveness of these controls. Key internal controls are those controls that must be implemented and sustained in daily operations to ensure organizational effectiveness and compliance with legal requirements. The use of internal controls is an integral component of an organization’s management that provides reasonable assurance for the effectiveness and efficiency of operations, reliability of financial reporting, and compliance with laws and regulations.</w:t>
      </w:r>
    </w:p>
    <w:p>
      <w:pPr>
        <w:pBdr>
          <w:top w:space="5"/>
          <w:left w:space="5"/>
          <w:bottom w:space="5"/>
          <w:right w:space="5"/>
        </w:pBdr>
        <w:spacing w:after="0"/>
        <w:ind w:left="225"/>
        <w:jc w:val="left"/>
      </w:pPr>
      <w:r>
        <w:rPr>
          <w:rFonts w:ascii="Times New Roman" w:hAnsi="Times New Roman"/>
          <w:b w:val="false"/>
          <w:i w:val="false"/>
          <w:color w:val="000000"/>
          <w:sz w:val="22"/>
        </w:rPr>
        <w:t>The purpose of this checklist is to assist Army contracting managers at all levels in evaluating the effectiveness of key internal controls for contracting functions performed throughout the Army contracting enterprise worldwide.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