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**ID__AFARS_Appendix-CC-201__ID**</w:t>
      </w:r>
    </w:p>
    <w:p>
      <w:pPr>
        <w:pStyle w:val="Heading4"/>
        <w:spacing w:after="269"/>
        <w:ind w:left="120"/>
        <w:jc w:val="left"/>
      </w:pPr>
      <w:r>
        <w:rPr>
          <w:rFonts w:ascii="Times New Roman" w:hAnsi="Times New Roman"/>
          <w:i w:val="false"/>
          <w:color w:val="000000"/>
          <w:sz w:val="24"/>
        </w:rPr>
        <w:t>CC-201</w:t>
      </w:r>
      <w:r>
        <w:rPr>
          <w:rFonts w:ascii="Times New Roman" w:hAnsi="Times New Roman"/>
          <w:i w:val="false"/>
          <w:color w:val="000000"/>
          <w:sz w:val="24"/>
        </w:rPr>
        <w:t xml:space="preserve"> Philosophy.</w:t>
      </w:r>
    </w:p>
    <w:p>
      <w:pPr>
        <w:pBdr>
          <w:top w:space="5"/>
          <w:left w:space="5"/>
          <w:bottom w:space="5"/>
          <w:right w:space="5"/>
        </w:pBdr>
        <w:spacing w:after="0"/>
        <w:ind w:left="225"/>
        <w:jc w:val="left"/>
      </w:pPr>
      <w:r>
        <w:rPr>
          <w:rFonts w:ascii="Times New Roman" w:hAnsi="Times New Roman"/>
          <w:b w:val="false"/>
          <w:i w:val="false"/>
          <w:color w:val="000000"/>
          <w:sz w:val="22"/>
        </w:rPr>
        <w:t>The PMR Program effects change through continuous improvement and verifies compliance with acquisition policies and regulations.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