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**ID__AFARS_Appendix-CC-400__ID**</w:t>
      </w:r>
    </w:p>
    <w:p>
      <w:pPr>
        <w:pStyle w:val="Heading4"/>
        <w:spacing w:after="269"/>
        <w:ind w:left="120"/>
        <w:jc w:val="left"/>
      </w:pPr>
      <w:r>
        <w:rPr>
          <w:rFonts w:ascii="Times New Roman" w:hAnsi="Times New Roman"/>
          <w:i w:val="false"/>
          <w:color w:val="000000"/>
          <w:sz w:val="24"/>
        </w:rPr>
        <w:t>CC-400</w:t>
      </w:r>
      <w:r>
        <w:rPr>
          <w:rFonts w:ascii="Times New Roman" w:hAnsi="Times New Roman"/>
          <w:i w:val="false"/>
          <w:color w:val="000000"/>
          <w:sz w:val="24"/>
        </w:rPr>
        <w:t xml:space="preserve"> Scheduling.</w:t>
      </w:r>
    </w:p>
    <w:p>
      <w:pPr>
        <w:pBdr>
          <w:top w:space="5"/>
          <w:left w:space="5"/>
          <w:bottom w:space="5"/>
          <w:right w:space="5"/>
        </w:pBdr>
        <w:spacing w:after="0"/>
        <w:ind w:left="225"/>
        <w:jc w:val="left"/>
      </w:pPr>
      <w:r>
        <w:rPr>
          <w:rFonts w:ascii="Times New Roman" w:hAnsi="Times New Roman"/>
          <w:b w:val="false"/>
          <w:i w:val="false"/>
          <w:color w:val="000000"/>
          <w:sz w:val="22"/>
        </w:rPr>
        <w:t>At a minimum heads of contracting activities or their senior contracting official (SCO) will conduct PMRs on contracting activities, to include subordinate contracting offices, regardless of the level, at least once every 36 months and provide the schedule of reviews no later than 31 August of the preceding fiscal year to the Review and Oversight Directorate. DASA(P) may grant, in writing, an extension to four years on a one-time basis when circumstances are justified. Additionally, the DASA(P) may require, in writing, more frequent reviews of contracting activities as deemed necessary.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