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**ID__AFARS_Appendix-CC-402__ID**</w:t>
      </w:r>
    </w:p>
    <w:p>
      <w:pPr>
        <w:pStyle w:val="Heading4"/>
        <w:spacing w:after="269"/>
        <w:ind w:left="120"/>
        <w:jc w:val="left"/>
      </w:pPr>
      <w:r>
        <w:rPr>
          <w:rFonts w:ascii="Times New Roman" w:hAnsi="Times New Roman"/>
          <w:i w:val="false"/>
          <w:color w:val="000000"/>
          <w:sz w:val="24"/>
        </w:rPr>
        <w:t>CC-402</w:t>
      </w:r>
      <w:r>
        <w:rPr>
          <w:rFonts w:ascii="Times New Roman" w:hAnsi="Times New Roman"/>
          <w:i w:val="false"/>
          <w:color w:val="000000"/>
          <w:sz w:val="24"/>
        </w:rPr>
        <w:t xml:space="preserve"> Approach of Procurement Management Reviews.</w:t>
      </w:r>
    </w:p>
    <w:p>
      <w:pPr>
        <w:pBdr>
          <w:top w:space="5"/>
          <w:left w:space="5"/>
          <w:bottom w:space="5"/>
          <w:right w:space="5"/>
        </w:pBdr>
        <w:spacing w:after="0"/>
        <w:ind w:left="225"/>
        <w:jc w:val="left"/>
      </w:pPr>
      <w:r>
        <w:rPr>
          <w:rFonts w:ascii="Times New Roman" w:hAnsi="Times New Roman"/>
          <w:b w:val="false"/>
          <w:i w:val="false"/>
          <w:color w:val="000000"/>
          <w:sz w:val="22"/>
        </w:rPr>
        <w:t>(a) PMRs will be collaborative and will emphasize effectiveness of strategic planning, identification and effectiveness of metrics, and the flow of information among organizations at the headquarters and OSCO levels. PMRs will evaluate effectiveness along with compliance with procurement laws, regulations, policies, and best practices at the contract execution level. PMRs will identify improvements needed in contracting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PMRs will provide for the exchange of information and advice on lessons learned, best practices, mitigation of barriers to effective change, and opportunities for continuous improvement.</w:t>
      </w:r>
    </w:p>
    <w:p>
      <w:pPr>
        <w:pBdr>
          <w:top w:space="5"/>
          <w:left w:space="5"/>
          <w:bottom w:space="5"/>
          <w:right w:space="5"/>
        </w:pBdr>
        <w:spacing w:after="0"/>
        <w:ind w:left="225"/>
        <w:jc w:val="left"/>
      </w:pPr>
      <w:r>
        <w:rPr>
          <w:rFonts w:ascii="Times New Roman" w:hAnsi="Times New Roman"/>
          <w:b w:val="false"/>
          <w:i w:val="false"/>
          <w:color w:val="000000"/>
          <w:sz w:val="22"/>
        </w:rPr>
        <w:t>(c) Participation by the ODASA(P) in OSCO PMRs will address PMR objectives and enhance the OSCO team in achieving its responsibilities pursuant to this Appendix.</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