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**ID__AFARS_5104.802__ID**</w:t>
      </w:r>
    </w:p>
    <w:p>
      <w:pPr>
        <w:pStyle w:val="Heading3"/>
        <w:spacing w:after="199"/>
        <w:ind w:left="120"/>
        <w:jc w:val="left"/>
      </w:pPr>
      <w:r>
        <w:rPr>
          <w:rFonts w:ascii="Times New Roman" w:hAnsi="Times New Roman"/>
          <w:color w:val="000000"/>
          <w:sz w:val="31"/>
        </w:rPr>
        <w:t>5104.802</w:t>
      </w:r>
      <w:r>
        <w:rPr>
          <w:rFonts w:ascii="Times New Roman" w:hAnsi="Times New Roman"/>
          <w:color w:val="000000"/>
          <w:sz w:val="31"/>
        </w:rPr>
        <w:t xml:space="preserve"> Contract files.</w:t>
      </w:r>
    </w:p>
    <w:p>
      <w:pPr>
        <w:pBdr>
          <w:top w:space="5"/>
          <w:left w:space="5"/>
          <w:bottom w:space="5"/>
          <w:right w:space="5"/>
        </w:pBdr>
        <w:spacing w:after="0"/>
        <w:ind w:left="225"/>
        <w:jc w:val="left"/>
      </w:pPr>
      <w:r>
        <w:rPr>
          <w:rFonts w:ascii="Times New Roman" w:hAnsi="Times New Roman"/>
          <w:b w:val="false"/>
          <w:i w:val="false"/>
          <w:color w:val="000000"/>
          <w:sz w:val="22"/>
        </w:rPr>
        <w:t>(f) Contracting officers shall utilize the Virtual Contracting Enterprise (VCE) tools throughout the acquisition process to maximize visibility and management of contract specific information and documents. VCE shall not be used for classified documents or contracts.</w:t>
      </w:r>
    </w:p>
    <w:p>
      <w:pPr>
        <w:pBdr>
          <w:top w:space="5"/>
          <w:left w:space="5"/>
          <w:bottom w:space="5"/>
          <w:right w:space="5"/>
        </w:pBdr>
        <w:spacing w:after="0"/>
        <w:ind w:left="945"/>
        <w:jc w:val="left"/>
      </w:pPr>
      <w:r>
        <w:rPr>
          <w:rFonts w:ascii="Times New Roman" w:hAnsi="Times New Roman"/>
          <w:b w:val="false"/>
          <w:i w:val="false"/>
          <w:color w:val="000000"/>
          <w:sz w:val="22"/>
        </w:rPr>
        <w:t xml:space="preserve">(i) The Paperless Contract File (PCF) module shall be used to store, access, and route documents necessary to manage the acquisition process for review and approval. Contracting officers shall ensure that the PCF contains all appropriate contract documents. If the contract document is maintained within the Procurement Integrated Enterprise Environment (PIEE,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https://wawf.eb.mil/</w:t>
        </w:r>
      </w:hyperlink>
      <w:r>
        <w:rPr>
          <w:rFonts w:ascii="Times New Roman" w:hAnsi="Times New Roman"/>
          <w:b w:val="false"/>
          <w:i w:val="false"/>
          <w:color w:val="000000"/>
          <w:sz w:val="22"/>
        </w:rPr>
        <w:t>) or the Federal Procurement Data System-Next Generation (FPDS-NG)), then that system is the official system of record; contracting officers should not duplicate the document and file it in the PCF.</w:t>
      </w:r>
    </w:p>
    <w:p>
      <w:pPr>
        <w:pBdr>
          <w:top w:space="5"/>
          <w:left w:space="5"/>
          <w:bottom w:space="5"/>
          <w:right w:space="5"/>
        </w:pBdr>
        <w:spacing w:after="0"/>
        <w:ind w:left="585"/>
        <w:jc w:val="left"/>
      </w:pPr>
      <w:r>
        <w:rPr>
          <w:rFonts w:ascii="Times New Roman" w:hAnsi="Times New Roman"/>
          <w:b w:val="false"/>
          <w:i w:val="false"/>
          <w:color w:val="000000"/>
          <w:sz w:val="22"/>
        </w:rPr>
        <w:t>(1) The Army Cabinet Index folder structure shall be used when filing documents in PCF to ensure standardization throughout Army contract files.</w:t>
      </w:r>
    </w:p>
    <w:p>
      <w:pPr>
        <w:pBdr>
          <w:top w:space="5"/>
          <w:left w:space="5"/>
          <w:bottom w:space="5"/>
          <w:right w:space="5"/>
        </w:pBdr>
        <w:spacing w:after="0"/>
        <w:ind w:left="585"/>
        <w:jc w:val="left"/>
      </w:pPr>
      <w:r>
        <w:rPr>
          <w:rFonts w:ascii="Times New Roman" w:hAnsi="Times New Roman"/>
          <w:b w:val="false"/>
          <w:i w:val="false"/>
          <w:color w:val="000000"/>
          <w:sz w:val="22"/>
        </w:rPr>
        <w:t>(2) The Protest and Claims Tracking tool shall be used when the contracting officer receives knowledge of a preaward or postaward protest submitted to any venue.</w:t>
      </w:r>
    </w:p>
    <w:p>
      <w:pPr>
        <w:pBdr>
          <w:top w:space="5"/>
          <w:left w:space="5"/>
          <w:bottom w:space="5"/>
          <w:right w:space="5"/>
        </w:pBdr>
        <w:spacing w:after="0"/>
        <w:ind w:left="585"/>
        <w:jc w:val="left"/>
      </w:pPr>
      <w:r>
        <w:rPr>
          <w:rFonts w:ascii="Times New Roman" w:hAnsi="Times New Roman"/>
          <w:b w:val="false"/>
          <w:i w:val="false"/>
          <w:color w:val="000000"/>
          <w:sz w:val="22"/>
        </w:rPr>
        <w:t>(3) Milestone Tracking shall be used to forecast and document dates for initiation and completion of key documents and milestones. The VCE tool identifies the mandatory data fields based on specific criteria for the acquisition.</w:t>
      </w:r>
    </w:p>
    <w:p>
      <w:pPr>
        <w:pBdr>
          <w:top w:space="5"/>
          <w:left w:space="5"/>
          <w:bottom w:space="5"/>
          <w:right w:space="5"/>
        </w:pBdr>
        <w:spacing w:after="0"/>
        <w:ind w:left="585"/>
        <w:jc w:val="left"/>
      </w:pPr>
      <w:r>
        <w:rPr>
          <w:rFonts w:ascii="Times New Roman" w:hAnsi="Times New Roman"/>
          <w:b w:val="false"/>
          <w:i w:val="false"/>
          <w:color w:val="000000"/>
          <w:sz w:val="22"/>
        </w:rPr>
        <w:t>(4) Peer Review Automated Forecasting Tool shall be used for acquisitions requiring peer review in accordance with DFARS 201.170(a),</w:t>
      </w:r>
    </w:p>
    <w:p>
      <w:pPr>
        <w:pBdr>
          <w:top w:space="5"/>
          <w:left w:space="5"/>
          <w:bottom w:space="5"/>
          <w:right w:space="5"/>
        </w:pBdr>
        <w:spacing w:after="0"/>
        <w:ind w:left="585"/>
        <w:jc w:val="left"/>
      </w:pPr>
      <w:r>
        <w:rPr>
          <w:rFonts w:ascii="Times New Roman" w:hAnsi="Times New Roman"/>
          <w:b w:val="false"/>
          <w:i w:val="false"/>
          <w:color w:val="000000"/>
          <w:sz w:val="22"/>
        </w:rPr>
        <w:t>(5) Mission Partner/Requirement Owner Functionality shall be used by requirements owners to create cabinets and submit documents to contracting organizations. Contracting officers shall assist requirements owners as necessary to ensure utilization of the tool.</w:t>
      </w:r>
    </w:p>
    <w:p>
      <w:pPr>
        <w:pBdr>
          <w:top w:space="5"/>
          <w:left w:space="5"/>
          <w:bottom w:space="5"/>
          <w:right w:space="5"/>
        </w:pBdr>
        <w:spacing w:after="0"/>
        <w:ind w:left="945"/>
        <w:jc w:val="left"/>
      </w:pPr>
      <w:r>
        <w:rPr>
          <w:rFonts w:ascii="Times New Roman" w:hAnsi="Times New Roman"/>
          <w:b w:val="false"/>
          <w:i w:val="false"/>
          <w:color w:val="000000"/>
          <w:sz w:val="22"/>
        </w:rPr>
        <w:t>(ii) VCE Warrants Module shall be used to issue and track contracting officer and grant officer warrants; see 5101.603-3.</w:t>
      </w:r>
    </w:p>
    <w:p>
      <w:pPr>
        <w:pBdr>
          <w:top w:space="5"/>
          <w:left w:space="5"/>
          <w:bottom w:space="5"/>
          <w:right w:space="5"/>
        </w:pBdr>
        <w:spacing w:after="0"/>
        <w:ind w:left="945"/>
        <w:jc w:val="left"/>
      </w:pPr>
      <w:r>
        <w:rPr>
          <w:rFonts w:ascii="Times New Roman" w:hAnsi="Times New Roman"/>
          <w:b w:val="false"/>
          <w:i w:val="false"/>
          <w:color w:val="000000"/>
          <w:sz w:val="22"/>
        </w:rPr>
        <w:t>(iii) VCE shall be used for the Announcement of Awards and Small Business Coordination Record (DD Form 2579); see 5105.303 and 5119.201(d)(10)(B)(i) respectively.</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awf.eb.mil/"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