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**ID__AFARS_Appendix-EE_1-7__ID**</w:t>
      </w:r>
    </w:p>
    <w:p>
      <w:pPr>
        <w:pStyle w:val="Heading3"/>
        <w:spacing w:after="199"/>
        <w:ind w:left="120"/>
        <w:jc w:val="left"/>
      </w:pPr>
      <w:r>
        <w:rPr>
          <w:rFonts w:ascii="Times New Roman" w:hAnsi="Times New Roman"/>
          <w:color w:val="000000"/>
          <w:sz w:val="36"/>
        </w:rPr>
        <w:t>1-7.</w:t>
      </w:r>
      <w:r>
        <w:rPr>
          <w:rFonts w:ascii="Times New Roman" w:hAnsi="Times New Roman"/>
          <w:color w:val="000000"/>
          <w:sz w:val="36"/>
        </w:rPr>
        <w:t xml:space="preserve"> Program Organization, Roles and Responsibilities</w:t>
      </w:r>
    </w:p>
    <w:p>
      <w:pPr>
        <w:pBdr>
          <w:top w:space="5"/>
          <w:left w:space="5"/>
          <w:bottom w:space="5"/>
          <w:right w:space="5"/>
        </w:pBdr>
        <w:spacing w:after="0"/>
        <w:ind w:left="225"/>
        <w:jc w:val="left"/>
      </w:pPr>
      <w:r>
        <w:rPr>
          <w:rFonts w:ascii="Times New Roman" w:hAnsi="Times New Roman"/>
          <w:b w:val="false"/>
          <w:i w:val="false"/>
          <w:color w:val="000000"/>
          <w:sz w:val="22"/>
        </w:rPr>
        <w:t>The general roles and responsibilities of the participants in the purchase card program are presented in the references listed in paragraph 1-4 and the following: AFARS 5113.201, Chapter 2 and Appendix A of the DOD Government Charge Card Guidebook; Volume 1, Part 4, Chapter 4500 of the Treasury Financial Manual; Office of Management and Budget (OMB) Circular 123, Appendix B Revised, Chapters 4.3, 4.4, and 4.8; 31 U.S.C. §3528 “Responsibilities and Relief from Liability of Certifying Officials; DOD Financial Management Regulation (DOD FMR) Volume 5, Chapter 33 “Departmental Accountable Officials, Certifying Officers and Review Officials”, and DOD FMR Volume 10, Chapter 23, paragraph 2303 and 2304.</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524"/>
        <w:gridCol w:w="4525"/>
        <w:gridCol w:w="4525"/>
      </w:tblGrid>
      <w:tr>
        <w:trPr>
          <w:trHeight w:val="102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Army</w:t>
            </w:r>
            <w:r>
              <w:rPr>
                <w:rFonts w:ascii="Times New Roman" w:hAnsi="Times New Roman"/>
                <w:b/>
                <w:i w:val="false"/>
                <w:color w:val="000000"/>
                <w:sz w:val="22"/>
              </w:rPr>
              <w:t>Level Hierarchy</w:t>
            </w:r>
            <w:r>
              <w:rPr>
                <w:rFonts w:ascii="Times New Roman" w:hAnsi="Times New Roman"/>
                <w:b/>
                <w:i w:val="false"/>
                <w:color w:val="000000"/>
                <w:sz w:val="22"/>
              </w:rPr>
              <w:t>GPC Program structure</w:t>
            </w:r>
          </w:p>
          <w:p>
            <w:pPr>
              <w:pBdr>
                <w:top w:space="5"/>
                <w:left w:space="5"/>
                <w:bottom w:space="5"/>
                <w:right w:space="5"/>
              </w:pBdr>
              <w:spacing w:after="0"/>
              <w:ind w:left="240"/>
              <w:jc w:val="center"/>
            </w:pPr>
            <w:r>
              <w:rPr>
                <w:rFonts w:ascii="Times New Roman" w:hAnsi="Times New Roman"/>
                <w:b/>
                <w:i w:val="false"/>
                <w:color w:val="000000"/>
                <w:sz w:val="22"/>
              </w:rPr>
              <w:t>uses a multi-level approach defined by level numbers</w:t>
            </w:r>
          </w:p>
        </w:tc>
      </w:tr>
      <w:tr>
        <w:trPr>
          <w:trHeight w:val="133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Level 1 A/OPC</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DOD</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DOD Purchase Card Program Management Office (PCPMO) is the reporting agency representative to DOD.</w:t>
            </w:r>
          </w:p>
        </w:tc>
      </w:tr>
      <w:tr>
        <w:trPr>
          <w:trHeight w:val="241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Level 2 A/OPC</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ASA(ALT)</w:t>
            </w:r>
          </w:p>
          <w:p>
            <w:pPr>
              <w:pBdr>
                <w:top w:space="5"/>
                <w:left w:space="5"/>
                <w:bottom w:space="5"/>
                <w:right w:space="5"/>
              </w:pBdr>
              <w:spacing w:after="0"/>
              <w:ind w:left="240"/>
              <w:jc w:val="left"/>
            </w:pPr>
            <w:r>
              <w:rPr>
                <w:rFonts w:ascii="Times New Roman" w:hAnsi="Times New Roman"/>
                <w:b w:val="false"/>
                <w:i w:val="false"/>
                <w:color w:val="000000"/>
                <w:sz w:val="22"/>
              </w:rPr>
              <w:t>DASA(P)</w:t>
            </w:r>
          </w:p>
          <w:p>
            <w:pPr>
              <w:pBdr>
                <w:top w:space="5"/>
                <w:left w:space="5"/>
                <w:bottom w:space="5"/>
                <w:right w:space="5"/>
              </w:pBdr>
              <w:spacing w:after="0"/>
              <w:ind w:left="240"/>
              <w:jc w:val="left"/>
            </w:pPr>
            <w:r>
              <w:rPr>
                <w:rFonts w:ascii="Times New Roman" w:hAnsi="Times New Roman"/>
                <w:b w:val="false"/>
                <w:i w:val="false"/>
                <w:color w:val="000000"/>
                <w:sz w:val="22"/>
              </w:rPr>
              <w:t>SAAL-PP</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Assistant Secretary of the Army (Acquisition, Logistics, and Technology), Office of the Deputy Assistant Secretary of the Army for Procurement Policy Programs and Oversight staff member serves as the Level 2 A/OPC</w:t>
            </w:r>
          </w:p>
        </w:tc>
      </w:tr>
      <w:tr>
        <w:trPr>
          <w:trHeight w:val="540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Level 3 A/OPC</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Army Command (ACOM) or equivalent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1"/>
              </w:numPr>
              <w:spacing w:after="0"/>
              <w:ind w:left="845" w:hanging="360"/>
              <w:jc w:val="left"/>
            </w:pPr>
            <w:r>
              <w:rPr>
                <w:rFonts w:ascii="Times New Roman" w:hAnsi="Times New Roman"/>
                <w:b w:val="false"/>
                <w:i w:val="false"/>
                <w:color w:val="000000"/>
                <w:sz w:val="22"/>
              </w:rPr>
              <w:t>ACOM or equivalent organization must possess Head of Contracting Activity authority and the SCO designates a Level 3 A/OPC and alternate</w:t>
            </w:r>
          </w:p>
          <w:p>
            <w:pPr>
              <w:numPr>
                <w:ilvl w:val="0"/>
                <w:numId w:val="1"/>
              </w:numPr>
              <w:spacing w:after="0"/>
              <w:ind w:left="845" w:hanging="360"/>
              <w:jc w:val="left"/>
            </w:pPr>
            <w:r>
              <w:rPr>
                <w:rFonts w:ascii="Times New Roman" w:hAnsi="Times New Roman"/>
                <w:b w:val="false"/>
                <w:i w:val="false"/>
                <w:color w:val="000000"/>
                <w:sz w:val="22"/>
              </w:rPr>
              <w:t>The Level 3 A/OPC reports to the Level 2 A/OPC as required</w:t>
            </w:r>
          </w:p>
          <w:p>
            <w:pPr>
              <w:numPr>
                <w:ilvl w:val="0"/>
                <w:numId w:val="1"/>
              </w:numPr>
              <w:spacing w:after="0"/>
              <w:ind w:left="845" w:hanging="360"/>
              <w:jc w:val="left"/>
            </w:pPr>
            <w:r>
              <w:rPr>
                <w:rFonts w:ascii="Times New Roman" w:hAnsi="Times New Roman"/>
                <w:b w:val="false"/>
                <w:i w:val="false"/>
                <w:color w:val="000000"/>
                <w:sz w:val="22"/>
              </w:rPr>
              <w:t>The SCO’s management responsibility for the GPC program may be delegated to the CCO.</w:t>
            </w:r>
          </w:p>
          <w:p>
            <w:pPr>
              <w:pBdr>
                <w:top w:space="5"/>
                <w:left w:space="5"/>
                <w:bottom w:space="5"/>
                <w:right w:space="5"/>
              </w:pBdr>
              <w:spacing w:after="0"/>
              <w:ind w:left="240"/>
              <w:jc w:val="left"/>
            </w:pPr>
          </w:p>
        </w:tc>
      </w:tr>
      <w:tr>
        <w:trPr>
          <w:trHeight w:val="399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Level 4 A/OPC</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Installation or equivalent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2"/>
              </w:numPr>
              <w:spacing w:after="0"/>
              <w:ind w:left="845" w:hanging="360"/>
              <w:jc w:val="left"/>
            </w:pPr>
            <w:r>
              <w:rPr>
                <w:rFonts w:ascii="Times New Roman" w:hAnsi="Times New Roman"/>
                <w:b w:val="false"/>
                <w:i w:val="false"/>
                <w:color w:val="000000"/>
                <w:sz w:val="22"/>
              </w:rPr>
              <w:t>The installation or equivalent organization’s CCO designates a contracting staff member as the Level 4 A/OPC - The Level 4 A/OPC reports to the Level 3 A/OPC as required</w:t>
            </w:r>
          </w:p>
          <w:p>
            <w:pPr>
              <w:pBdr>
                <w:top w:space="5"/>
                <w:left w:space="5"/>
                <w:bottom w:space="5"/>
                <w:right w:space="5"/>
              </w:pBdr>
              <w:spacing w:after="0"/>
              <w:ind w:left="240"/>
              <w:jc w:val="left"/>
            </w:pPr>
          </w:p>
        </w:tc>
      </w:tr>
      <w:tr>
        <w:trPr>
          <w:trHeight w:val="567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Level 5</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Billing Official (BO) and</w:t>
            </w:r>
          </w:p>
          <w:p>
            <w:pPr>
              <w:pBdr>
                <w:top w:space="5"/>
                <w:left w:space="5"/>
                <w:bottom w:space="5"/>
                <w:right w:space="5"/>
              </w:pBdr>
              <w:spacing w:after="0"/>
              <w:ind w:left="240"/>
              <w:jc w:val="left"/>
            </w:pPr>
            <w:r>
              <w:rPr>
                <w:rFonts w:ascii="Times New Roman" w:hAnsi="Times New Roman"/>
                <w:b w:val="false"/>
                <w:i w:val="false"/>
                <w:color w:val="000000"/>
                <w:sz w:val="22"/>
              </w:rPr>
              <w:t>Alternate BO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3"/>
              </w:numPr>
              <w:spacing w:after="0"/>
              <w:ind w:left="845" w:hanging="360"/>
              <w:jc w:val="left"/>
            </w:pPr>
            <w:r>
              <w:rPr>
                <w:rFonts w:ascii="Times New Roman" w:hAnsi="Times New Roman"/>
                <w:b w:val="false"/>
                <w:i w:val="false"/>
                <w:color w:val="000000"/>
                <w:sz w:val="22"/>
              </w:rPr>
              <w:t>BO appointed by COC - may be delegated to Level 4 A/OPC - see sample letter in Appendix F</w:t>
            </w:r>
          </w:p>
          <w:p>
            <w:pPr>
              <w:numPr>
                <w:ilvl w:val="0"/>
                <w:numId w:val="3"/>
              </w:numPr>
              <w:spacing w:after="0"/>
              <w:ind w:left="845" w:hanging="360"/>
              <w:jc w:val="left"/>
            </w:pPr>
            <w:r>
              <w:rPr>
                <w:rFonts w:ascii="Times New Roman" w:hAnsi="Times New Roman"/>
                <w:b w:val="false"/>
                <w:i w:val="false"/>
                <w:color w:val="000000"/>
                <w:sz w:val="22"/>
              </w:rPr>
              <w:t>Certifying Officer (which is the Billing Official) appointed by Installation Commanders or activity directors on DD577</w:t>
            </w:r>
          </w:p>
          <w:p>
            <w:pPr>
              <w:numPr>
                <w:ilvl w:val="0"/>
                <w:numId w:val="3"/>
              </w:numPr>
              <w:spacing w:after="0"/>
              <w:ind w:left="845" w:hanging="360"/>
              <w:jc w:val="left"/>
            </w:pPr>
            <w:r>
              <w:rPr>
                <w:rFonts w:ascii="Times New Roman" w:hAnsi="Times New Roman"/>
                <w:b w:val="false"/>
                <w:i w:val="false"/>
                <w:color w:val="000000"/>
                <w:sz w:val="22"/>
              </w:rPr>
              <w:t>BO monitors and approves CH purchases and certifies billing statements</w:t>
            </w:r>
          </w:p>
          <w:p>
            <w:pPr>
              <w:pBdr>
                <w:top w:space="5"/>
                <w:left w:space="5"/>
                <w:bottom w:space="5"/>
                <w:right w:space="5"/>
              </w:pBdr>
              <w:spacing w:after="0"/>
              <w:ind w:left="240"/>
              <w:jc w:val="left"/>
            </w:pPr>
          </w:p>
        </w:tc>
      </w:tr>
      <w:tr>
        <w:trPr>
          <w:trHeight w:val="459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Level 6</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Cardholder</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4"/>
              </w:numPr>
              <w:spacing w:after="0"/>
              <w:ind w:left="845" w:hanging="360"/>
              <w:jc w:val="left"/>
            </w:pPr>
            <w:r>
              <w:rPr>
                <w:rFonts w:ascii="Times New Roman" w:hAnsi="Times New Roman"/>
                <w:b w:val="false"/>
                <w:i w:val="false"/>
                <w:color w:val="000000"/>
                <w:sz w:val="22"/>
              </w:rPr>
              <w:t>Individual issued the GPC or convenience checks</w:t>
            </w:r>
          </w:p>
          <w:p>
            <w:pPr>
              <w:numPr>
                <w:ilvl w:val="0"/>
                <w:numId w:val="4"/>
              </w:numPr>
              <w:spacing w:after="0"/>
              <w:ind w:left="845" w:hanging="360"/>
              <w:jc w:val="left"/>
            </w:pPr>
            <w:r>
              <w:rPr>
                <w:rFonts w:ascii="Times New Roman" w:hAnsi="Times New Roman"/>
                <w:b w:val="false"/>
                <w:i w:val="false"/>
                <w:color w:val="000000"/>
                <w:sz w:val="22"/>
              </w:rPr>
              <w:t>Appointed by Level 4 A/OPC (when COC delegates the authority to A/OPC)</w:t>
            </w:r>
          </w:p>
          <w:p>
            <w:pPr>
              <w:numPr>
                <w:ilvl w:val="0"/>
                <w:numId w:val="4"/>
              </w:numPr>
              <w:spacing w:after="0"/>
              <w:ind w:left="845" w:hanging="360"/>
              <w:jc w:val="left"/>
            </w:pPr>
            <w:r>
              <w:rPr>
                <w:rFonts w:ascii="Times New Roman" w:hAnsi="Times New Roman"/>
                <w:b w:val="false"/>
                <w:i w:val="false"/>
                <w:color w:val="000000"/>
                <w:sz w:val="22"/>
              </w:rPr>
              <w:t>CH must acknowledge authority and duties by signing appointment letter</w:t>
            </w:r>
          </w:p>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i w:val="false"/>
          <w:color w:val="000000"/>
          <w:sz w:val="22"/>
        </w:rPr>
        <w:t>Level</w:t>
      </w:r>
      <w:r>
        <w:rPr>
          <w:rFonts w:ascii="Times New Roman" w:hAnsi="Times New Roman"/>
          <w:b/>
          <w:i w:val="false"/>
          <w:color w:val="000000"/>
          <w:sz w:val="22"/>
        </w:rPr>
        <w:t>2</w:t>
      </w:r>
      <w:r>
        <w:rPr>
          <w:rFonts w:ascii="Times New Roman" w:hAnsi="Times New Roman"/>
          <w:b/>
          <w:i w:val="false"/>
          <w:color w:val="000000"/>
          <w:sz w:val="22"/>
        </w:rPr>
        <w:t>– A/OPC</w:t>
      </w:r>
      <w:r>
        <w:rPr>
          <w:rFonts w:ascii="Times New Roman" w:hAnsi="Times New Roman"/>
          <w:b/>
          <w:i w:val="false"/>
          <w:color w:val="000000"/>
          <w:sz w:val="22"/>
        </w:rPr>
        <w:t>duties:</w:t>
      </w:r>
    </w:p>
    <w:p>
      <w:pPr>
        <w:pBdr>
          <w:top w:space="5"/>
          <w:left w:space="5"/>
          <w:bottom w:space="5"/>
          <w:right w:space="5"/>
        </w:pBdr>
        <w:spacing w:after="0"/>
        <w:ind w:left="225"/>
        <w:jc w:val="left"/>
      </w:pPr>
      <w:r>
        <w:rPr>
          <w:rFonts w:ascii="Times New Roman" w:hAnsi="Times New Roman"/>
          <w:b w:val="false"/>
          <w:i w:val="false"/>
          <w:color w:val="000000"/>
          <w:sz w:val="22"/>
        </w:rPr>
        <w:t>(1) administering the Army GPC Program;</w:t>
      </w:r>
    </w:p>
    <w:p>
      <w:pPr>
        <w:pBdr>
          <w:top w:space="5"/>
          <w:left w:space="5"/>
          <w:bottom w:space="5"/>
          <w:right w:space="5"/>
        </w:pBdr>
        <w:spacing w:after="0"/>
        <w:ind w:left="225"/>
        <w:jc w:val="left"/>
      </w:pPr>
      <w:r>
        <w:rPr>
          <w:rFonts w:ascii="Times New Roman" w:hAnsi="Times New Roman"/>
          <w:b w:val="false"/>
          <w:i w:val="false"/>
          <w:color w:val="000000"/>
          <w:sz w:val="22"/>
        </w:rPr>
        <w:t>(2) establishing policies and guidelines;</w:t>
      </w:r>
    </w:p>
    <w:p>
      <w:pPr>
        <w:pBdr>
          <w:top w:space="5"/>
          <w:left w:space="5"/>
          <w:bottom w:space="5"/>
          <w:right w:space="5"/>
        </w:pBdr>
        <w:spacing w:after="0"/>
        <w:ind w:left="225"/>
        <w:jc w:val="left"/>
      </w:pPr>
      <w:r>
        <w:rPr>
          <w:rFonts w:ascii="Times New Roman" w:hAnsi="Times New Roman"/>
          <w:b w:val="false"/>
          <w:i w:val="false"/>
          <w:color w:val="000000"/>
          <w:sz w:val="22"/>
        </w:rPr>
        <w:t>(3) designing and maintaining hierarchies and approving subordinate A/OPCs;</w:t>
      </w:r>
    </w:p>
    <w:p>
      <w:pPr>
        <w:pBdr>
          <w:top w:space="5"/>
          <w:left w:space="5"/>
          <w:bottom w:space="5"/>
          <w:right w:space="5"/>
        </w:pBdr>
        <w:spacing w:after="0"/>
        <w:ind w:left="225"/>
        <w:jc w:val="left"/>
      </w:pPr>
      <w:r>
        <w:rPr>
          <w:rFonts w:ascii="Times New Roman" w:hAnsi="Times New Roman"/>
          <w:b w:val="false"/>
          <w:i w:val="false"/>
          <w:color w:val="000000"/>
          <w:sz w:val="22"/>
        </w:rPr>
        <w:t>(4) ensuring effective surveillance within the ACOMs, Army Service Component Commands, Direct Reporting Unit;</w:t>
      </w:r>
    </w:p>
    <w:p>
      <w:pPr>
        <w:pBdr>
          <w:top w:space="5"/>
          <w:left w:space="5"/>
          <w:bottom w:space="5"/>
          <w:right w:space="5"/>
        </w:pBdr>
        <w:spacing w:after="0"/>
        <w:ind w:left="225"/>
        <w:jc w:val="left"/>
      </w:pPr>
      <w:r>
        <w:rPr>
          <w:rFonts w:ascii="Times New Roman" w:hAnsi="Times New Roman"/>
          <w:b w:val="false"/>
          <w:i w:val="false"/>
          <w:color w:val="000000"/>
          <w:sz w:val="22"/>
        </w:rPr>
        <w:t>(5) serving as a liaison with Army organizations, the Servicing Bank, the PCPMO, and GSA; and,</w:t>
      </w:r>
    </w:p>
    <w:p>
      <w:pPr>
        <w:pBdr>
          <w:top w:space="5"/>
          <w:left w:space="5"/>
          <w:bottom w:space="5"/>
          <w:right w:space="5"/>
        </w:pBdr>
        <w:spacing w:after="0"/>
        <w:ind w:left="225"/>
        <w:jc w:val="left"/>
      </w:pPr>
      <w:r>
        <w:rPr>
          <w:rFonts w:ascii="Times New Roman" w:hAnsi="Times New Roman"/>
          <w:b w:val="false"/>
          <w:i w:val="false"/>
          <w:color w:val="000000"/>
          <w:sz w:val="22"/>
        </w:rPr>
        <w:t xml:space="preserve">(6) </w:t>
      </w:r>
      <w:r>
        <w:rPr>
          <w:rFonts w:ascii="Times New Roman" w:hAnsi="Times New Roman"/>
          <w:b w:val="false"/>
          <w:i w:val="false"/>
          <w:color w:val="000000"/>
          <w:sz w:val="22"/>
        </w:rPr>
        <w:t>managing and implementing technical enhancements (developing, testing and deployment of GPC hardware/software/networking systems enhancements).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i w:val="false"/>
          <w:color w:val="000000"/>
          <w:sz w:val="22"/>
        </w:rPr>
        <w:t>Level 3 – A/OPC duties:</w:t>
      </w:r>
      <w:r>
        <w:rPr>
          <w:rFonts w:ascii="Times New Roman" w:hAnsi="Times New Roman"/>
          <w:b w:val="false"/>
          <w:i w:val="false"/>
          <w:color w:val="000000"/>
          <w:sz w:val="22"/>
        </w:rPr>
        <w:t xml:space="preserve"> Alternate Level 3 A/OPC duties are the same as the Primary Level 3 A/OPC.</w:t>
      </w:r>
    </w:p>
    <w:p>
      <w:pPr>
        <w:pBdr>
          <w:top w:space="5"/>
          <w:left w:space="5"/>
          <w:bottom w:space="5"/>
          <w:right w:space="5"/>
        </w:pBdr>
        <w:spacing w:after="0"/>
        <w:ind w:left="225"/>
        <w:jc w:val="left"/>
      </w:pPr>
      <w:r>
        <w:rPr>
          <w:rFonts w:ascii="Times New Roman" w:hAnsi="Times New Roman"/>
          <w:b w:val="false"/>
          <w:i w:val="false"/>
          <w:color w:val="000000"/>
          <w:sz w:val="22"/>
        </w:rPr>
        <w:t>(1) implementing, administering, and monitoring the ACOM GPC program subject to DOD and Army policies;</w:t>
      </w:r>
    </w:p>
    <w:p>
      <w:pPr>
        <w:pBdr>
          <w:top w:space="5"/>
          <w:left w:space="5"/>
          <w:bottom w:space="5"/>
          <w:right w:space="5"/>
        </w:pBdr>
        <w:spacing w:after="0"/>
        <w:ind w:left="225"/>
        <w:jc w:val="left"/>
      </w:pPr>
      <w:r>
        <w:rPr>
          <w:rFonts w:ascii="Times New Roman" w:hAnsi="Times New Roman"/>
          <w:b w:val="false"/>
          <w:i w:val="false"/>
          <w:color w:val="000000"/>
          <w:sz w:val="22"/>
        </w:rPr>
        <w:t>(2) serving as a liaison with Army Headquarters, the Servicing Bank, ACOM staff, and field organizations;</w:t>
      </w:r>
    </w:p>
    <w:p>
      <w:pPr>
        <w:pBdr>
          <w:top w:space="5"/>
          <w:left w:space="5"/>
          <w:bottom w:space="5"/>
          <w:right w:space="5"/>
        </w:pBdr>
        <w:spacing w:after="0"/>
        <w:ind w:left="225"/>
        <w:jc w:val="left"/>
      </w:pPr>
      <w:r>
        <w:rPr>
          <w:rFonts w:ascii="Times New Roman" w:hAnsi="Times New Roman"/>
          <w:b w:val="false"/>
          <w:i w:val="false"/>
          <w:color w:val="000000"/>
          <w:sz w:val="22"/>
        </w:rPr>
        <w:t>(3) keeping Level 2 A/OPC apprised of GPC Program trends and issues as they arise;</w:t>
      </w:r>
    </w:p>
    <w:p>
      <w:pPr>
        <w:pBdr>
          <w:top w:space="5"/>
          <w:left w:space="5"/>
          <w:bottom w:space="5"/>
          <w:right w:space="5"/>
        </w:pBdr>
        <w:spacing w:after="0"/>
        <w:ind w:left="225"/>
        <w:jc w:val="left"/>
      </w:pPr>
      <w:r>
        <w:rPr>
          <w:rFonts w:ascii="Times New Roman" w:hAnsi="Times New Roman"/>
          <w:b w:val="false"/>
          <w:i w:val="false"/>
          <w:color w:val="000000"/>
          <w:sz w:val="22"/>
        </w:rPr>
        <w:t>(4) providing program support to ACOM and installation Level 4 A/OPCs;</w:t>
      </w:r>
    </w:p>
    <w:p>
      <w:pPr>
        <w:pBdr>
          <w:top w:space="5"/>
          <w:left w:space="5"/>
          <w:bottom w:space="5"/>
          <w:right w:space="5"/>
        </w:pBdr>
        <w:spacing w:after="0"/>
        <w:ind w:left="225"/>
        <w:jc w:val="left"/>
      </w:pPr>
      <w:r>
        <w:rPr>
          <w:rFonts w:ascii="Times New Roman" w:hAnsi="Times New Roman"/>
          <w:b w:val="false"/>
          <w:i w:val="false"/>
          <w:color w:val="000000"/>
          <w:sz w:val="22"/>
        </w:rPr>
        <w:t>(5) establishing and implementing ACOM-specific policy and guidelines;</w:t>
      </w:r>
    </w:p>
    <w:p>
      <w:pPr>
        <w:pBdr>
          <w:top w:space="5"/>
          <w:left w:space="5"/>
          <w:bottom w:space="5"/>
          <w:right w:space="5"/>
        </w:pBdr>
        <w:spacing w:after="0"/>
        <w:ind w:left="225"/>
        <w:jc w:val="left"/>
      </w:pPr>
      <w:r>
        <w:rPr>
          <w:rFonts w:ascii="Times New Roman" w:hAnsi="Times New Roman"/>
          <w:b w:val="false"/>
          <w:i w:val="false"/>
          <w:color w:val="000000"/>
          <w:sz w:val="22"/>
        </w:rPr>
        <w:t>(6) disseminating GPC Program-related information to Level 4 A/OPCs</w:t>
      </w:r>
    </w:p>
    <w:p>
      <w:pPr>
        <w:pBdr>
          <w:top w:space="5"/>
          <w:left w:space="5"/>
          <w:bottom w:space="5"/>
          <w:right w:space="5"/>
        </w:pBdr>
        <w:spacing w:after="0"/>
        <w:ind w:left="225"/>
        <w:jc w:val="left"/>
      </w:pPr>
      <w:r>
        <w:rPr>
          <w:rFonts w:ascii="Times New Roman" w:hAnsi="Times New Roman"/>
          <w:b w:val="false"/>
          <w:i w:val="false"/>
          <w:color w:val="000000"/>
          <w:sz w:val="22"/>
        </w:rPr>
        <w:t>(7) developing and writing GPC program internal control requirements, reporting mechanisms and surveillance plan.</w:t>
      </w:r>
    </w:p>
    <w:p>
      <w:pPr>
        <w:pBdr>
          <w:top w:space="5"/>
          <w:left w:space="5"/>
          <w:bottom w:space="5"/>
          <w:right w:space="5"/>
        </w:pBdr>
        <w:spacing w:after="0"/>
        <w:ind w:left="225"/>
        <w:jc w:val="left"/>
      </w:pPr>
      <w:r>
        <w:rPr>
          <w:rFonts w:ascii="Times New Roman" w:hAnsi="Times New Roman"/>
          <w:b w:val="false"/>
          <w:i w:val="false"/>
          <w:color w:val="000000"/>
          <w:sz w:val="22"/>
        </w:rPr>
        <w:t>(8) participating in GPC programs meetings sponsored by US Bank and Headquarters;</w:t>
      </w:r>
    </w:p>
    <w:p>
      <w:pPr>
        <w:pBdr>
          <w:top w:space="5"/>
          <w:left w:space="5"/>
          <w:bottom w:space="5"/>
          <w:right w:space="5"/>
        </w:pBdr>
        <w:spacing w:after="0"/>
        <w:ind w:left="225"/>
        <w:jc w:val="left"/>
      </w:pPr>
      <w:r>
        <w:rPr>
          <w:rFonts w:ascii="Times New Roman" w:hAnsi="Times New Roman"/>
          <w:b w:val="false"/>
          <w:i w:val="false"/>
          <w:color w:val="000000"/>
          <w:sz w:val="22"/>
        </w:rPr>
        <w:t>(9) tracking training requirements for Level 4 A/OPCs (see section 2-2);</w:t>
      </w:r>
    </w:p>
    <w:p>
      <w:pPr>
        <w:pBdr>
          <w:top w:space="5"/>
          <w:left w:space="5"/>
          <w:bottom w:space="5"/>
          <w:right w:space="5"/>
        </w:pBdr>
        <w:spacing w:after="0"/>
        <w:ind w:left="225"/>
        <w:jc w:val="left"/>
      </w:pPr>
      <w:r>
        <w:rPr>
          <w:rFonts w:ascii="Times New Roman" w:hAnsi="Times New Roman"/>
          <w:b w:val="false"/>
          <w:i w:val="false"/>
          <w:color w:val="000000"/>
          <w:sz w:val="22"/>
        </w:rPr>
        <w:t>(10) ensuring all Level 4 A/OPCs and Alternates hold appointment letters</w:t>
      </w:r>
    </w:p>
    <w:p>
      <w:pPr>
        <w:pBdr>
          <w:top w:space="5"/>
          <w:left w:space="5"/>
          <w:bottom w:space="5"/>
          <w:right w:space="5"/>
        </w:pBdr>
        <w:spacing w:after="0"/>
        <w:ind w:left="225"/>
        <w:jc w:val="left"/>
      </w:pPr>
      <w:r>
        <w:rPr>
          <w:rFonts w:ascii="Times New Roman" w:hAnsi="Times New Roman"/>
          <w:b w:val="false"/>
          <w:i w:val="false"/>
          <w:color w:val="000000"/>
          <w:sz w:val="22"/>
        </w:rPr>
        <w:t>(11) leading systems implementation at Command level;</w:t>
      </w:r>
    </w:p>
    <w:p>
      <w:pPr>
        <w:pBdr>
          <w:top w:space="5"/>
          <w:left w:space="5"/>
          <w:bottom w:space="5"/>
          <w:right w:space="5"/>
        </w:pBdr>
        <w:spacing w:after="0"/>
        <w:ind w:left="225"/>
        <w:jc w:val="left"/>
      </w:pPr>
      <w:r>
        <w:rPr>
          <w:rFonts w:ascii="Times New Roman" w:hAnsi="Times New Roman"/>
          <w:b w:val="false"/>
          <w:i w:val="false"/>
          <w:color w:val="000000"/>
          <w:sz w:val="22"/>
        </w:rPr>
        <w:t>(12) maintaining GPC Program documentation: Level 4 A/OPC training records, appointment letters, certifications, etc.;</w:t>
      </w:r>
    </w:p>
    <w:p>
      <w:pPr>
        <w:pBdr>
          <w:top w:space="5"/>
          <w:left w:space="5"/>
          <w:bottom w:space="5"/>
          <w:right w:space="5"/>
        </w:pBdr>
        <w:spacing w:after="0"/>
        <w:ind w:left="225"/>
        <w:jc w:val="left"/>
      </w:pPr>
      <w:r>
        <w:rPr>
          <w:rFonts w:ascii="Times New Roman" w:hAnsi="Times New Roman"/>
          <w:b w:val="false"/>
          <w:i w:val="false"/>
          <w:color w:val="000000"/>
          <w:sz w:val="22"/>
        </w:rPr>
        <w:t>(13) ensuring all Level 4 A/OPCs meet education, training and certifications requirements (see Section 1-8(b));</w:t>
      </w:r>
    </w:p>
    <w:p>
      <w:pPr>
        <w:pBdr>
          <w:top w:space="5"/>
          <w:left w:space="5"/>
          <w:bottom w:space="5"/>
          <w:right w:space="5"/>
        </w:pBdr>
        <w:spacing w:after="0"/>
        <w:ind w:left="225"/>
        <w:jc w:val="left"/>
      </w:pPr>
      <w:r>
        <w:rPr>
          <w:rFonts w:ascii="Times New Roman" w:hAnsi="Times New Roman"/>
          <w:b w:val="false"/>
          <w:i w:val="false"/>
          <w:color w:val="000000"/>
          <w:sz w:val="22"/>
        </w:rPr>
        <w:t>(14) coordinating GPC program changes with Level 2 A/OPC, including hierarchy changes, Level 3 appointments, etc.;</w:t>
      </w:r>
    </w:p>
    <w:p>
      <w:pPr>
        <w:pBdr>
          <w:top w:space="5"/>
          <w:left w:space="5"/>
          <w:bottom w:space="5"/>
          <w:right w:space="5"/>
        </w:pBdr>
        <w:spacing w:after="0"/>
        <w:ind w:left="225"/>
        <w:jc w:val="left"/>
      </w:pPr>
      <w:r>
        <w:rPr>
          <w:rFonts w:ascii="Times New Roman" w:hAnsi="Times New Roman"/>
          <w:b w:val="false"/>
          <w:i w:val="false"/>
          <w:color w:val="000000"/>
          <w:sz w:val="22"/>
        </w:rPr>
        <w:t>(15) responding to all data calls timely and with concise, current data;</w:t>
      </w:r>
    </w:p>
    <w:p>
      <w:pPr>
        <w:pBdr>
          <w:top w:space="5"/>
          <w:left w:space="5"/>
          <w:bottom w:space="5"/>
          <w:right w:space="5"/>
        </w:pBdr>
        <w:spacing w:after="0"/>
        <w:ind w:left="225"/>
        <w:jc w:val="left"/>
      </w:pPr>
      <w:r>
        <w:rPr>
          <w:rFonts w:ascii="Times New Roman" w:hAnsi="Times New Roman"/>
          <w:b w:val="false"/>
          <w:i w:val="false"/>
          <w:color w:val="000000"/>
          <w:sz w:val="22"/>
        </w:rPr>
        <w:t>(16) overseeing Level 4 A/OPC program controls, including BO account reviews, semi-annual surveillance, etc; and,</w:t>
      </w:r>
    </w:p>
    <w:p>
      <w:pPr>
        <w:pBdr>
          <w:top w:space="5"/>
          <w:left w:space="5"/>
          <w:bottom w:space="5"/>
          <w:right w:space="5"/>
        </w:pBdr>
        <w:spacing w:after="0"/>
        <w:ind w:left="225"/>
        <w:jc w:val="left"/>
      </w:pPr>
      <w:r>
        <w:rPr>
          <w:rFonts w:ascii="Times New Roman" w:hAnsi="Times New Roman"/>
          <w:b w:val="false"/>
          <w:i w:val="false"/>
          <w:color w:val="000000"/>
          <w:sz w:val="22"/>
        </w:rPr>
        <w:t>(17) Manage agent numbers: periodically assess the ongoing need for agent numbers.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i w:val="false"/>
          <w:color w:val="000000"/>
          <w:sz w:val="22"/>
        </w:rPr>
        <w:t>Level</w:t>
      </w:r>
      <w:r>
        <w:rPr>
          <w:rFonts w:ascii="Times New Roman" w:hAnsi="Times New Roman"/>
          <w:b/>
          <w:i w:val="false"/>
          <w:color w:val="000000"/>
          <w:sz w:val="22"/>
        </w:rPr>
        <w:t>4</w:t>
      </w:r>
      <w:r>
        <w:rPr>
          <w:rFonts w:ascii="Times New Roman" w:hAnsi="Times New Roman"/>
          <w:b/>
          <w:i w:val="false"/>
          <w:color w:val="000000"/>
          <w:sz w:val="22"/>
        </w:rPr>
        <w:t>-</w:t>
      </w:r>
      <w:r>
        <w:rPr>
          <w:rFonts w:ascii="Times New Roman" w:hAnsi="Times New Roman"/>
          <w:b/>
          <w:i w:val="false"/>
          <w:color w:val="000000"/>
          <w:sz w:val="22"/>
        </w:rPr>
        <w:t>A/OPC</w:t>
      </w:r>
      <w:r>
        <w:rPr>
          <w:rFonts w:ascii="Times New Roman" w:hAnsi="Times New Roman"/>
          <w:b/>
          <w:i w:val="false"/>
          <w:color w:val="000000"/>
          <w:sz w:val="22"/>
        </w:rPr>
        <w:t>duties:</w:t>
      </w:r>
      <w:r>
        <w:rPr>
          <w:rFonts w:ascii="Times New Roman" w:hAnsi="Times New Roman"/>
          <w:b w:val="false"/>
          <w:i w:val="false"/>
          <w:color w:val="000000"/>
          <w:sz w:val="22"/>
        </w:rPr>
        <w:t xml:space="preserve"> Alternate Level 4 A/OPC duties are the same as the Primary Level 4 A/OPC.</w:t>
      </w:r>
    </w:p>
    <w:p>
      <w:pPr>
        <w:pBdr>
          <w:top w:space="5"/>
          <w:left w:space="5"/>
          <w:bottom w:space="5"/>
          <w:right w:space="5"/>
        </w:pBdr>
        <w:spacing w:after="0"/>
        <w:ind w:left="225"/>
        <w:jc w:val="left"/>
      </w:pPr>
      <w:r>
        <w:rPr>
          <w:rFonts w:ascii="Times New Roman" w:hAnsi="Times New Roman"/>
          <w:b w:val="false"/>
          <w:i w:val="false"/>
          <w:color w:val="000000"/>
          <w:sz w:val="22"/>
        </w:rPr>
        <w:t>(1) managing the day-to-day operation of the GPC Program at the installation/organization;</w:t>
      </w:r>
    </w:p>
    <w:p>
      <w:pPr>
        <w:pBdr>
          <w:top w:space="5"/>
          <w:left w:space="5"/>
          <w:bottom w:space="5"/>
          <w:right w:space="5"/>
        </w:pBdr>
        <w:spacing w:after="0"/>
        <w:ind w:left="225"/>
        <w:jc w:val="left"/>
      </w:pPr>
      <w:r>
        <w:rPr>
          <w:rFonts w:ascii="Times New Roman" w:hAnsi="Times New Roman"/>
          <w:b w:val="false"/>
          <w:i w:val="false"/>
          <w:color w:val="000000"/>
          <w:sz w:val="22"/>
        </w:rPr>
        <w:t>(2) assisting CHs and BOs in fulfilling their responsibilities;</w:t>
      </w:r>
    </w:p>
    <w:p>
      <w:pPr>
        <w:pBdr>
          <w:top w:space="5"/>
          <w:left w:space="5"/>
          <w:bottom w:space="5"/>
          <w:right w:space="5"/>
        </w:pBdr>
        <w:spacing w:after="0"/>
        <w:ind w:left="225"/>
        <w:jc w:val="left"/>
      </w:pPr>
      <w:r>
        <w:rPr>
          <w:rFonts w:ascii="Times New Roman" w:hAnsi="Times New Roman"/>
          <w:b w:val="false"/>
          <w:i w:val="false"/>
          <w:color w:val="000000"/>
          <w:sz w:val="22"/>
        </w:rPr>
        <w:t>(3) ensuring local agency training is provided to CHs and BOs via an appropriate training method (i.e. classroom, VTC, electronic, etc.) prior to participation in the GPC program;</w:t>
      </w:r>
    </w:p>
    <w:p>
      <w:pPr>
        <w:pBdr>
          <w:top w:space="5"/>
          <w:left w:space="5"/>
          <w:bottom w:space="5"/>
          <w:right w:space="5"/>
        </w:pBdr>
        <w:spacing w:after="0"/>
        <w:ind w:left="225"/>
        <w:jc w:val="left"/>
      </w:pPr>
      <w:r>
        <w:rPr>
          <w:rFonts w:ascii="Times New Roman" w:hAnsi="Times New Roman"/>
          <w:b w:val="false"/>
          <w:i w:val="false"/>
          <w:color w:val="000000"/>
          <w:sz w:val="22"/>
        </w:rPr>
        <w:t>(4) ensuring installation-specific training is provided to CHs on property accountability procedures (in coordination with local Property Book Officers);</w:t>
      </w:r>
    </w:p>
    <w:p>
      <w:pPr>
        <w:pBdr>
          <w:top w:space="5"/>
          <w:left w:space="5"/>
          <w:bottom w:space="5"/>
          <w:right w:space="5"/>
        </w:pBdr>
        <w:spacing w:after="0"/>
        <w:ind w:left="225"/>
        <w:jc w:val="left"/>
      </w:pPr>
      <w:r>
        <w:rPr>
          <w:rFonts w:ascii="Times New Roman" w:hAnsi="Times New Roman"/>
          <w:b w:val="false"/>
          <w:i w:val="false"/>
          <w:color w:val="000000"/>
          <w:sz w:val="22"/>
        </w:rPr>
        <w:t>(5) ensuring an alternate billing official is in place;</w:t>
      </w:r>
    </w:p>
    <w:p>
      <w:pPr>
        <w:pBdr>
          <w:top w:space="5"/>
          <w:left w:space="5"/>
          <w:bottom w:space="5"/>
          <w:right w:space="5"/>
        </w:pBdr>
        <w:spacing w:after="0"/>
        <w:ind w:left="225"/>
        <w:jc w:val="left"/>
      </w:pPr>
      <w:r>
        <w:rPr>
          <w:rFonts w:ascii="Times New Roman" w:hAnsi="Times New Roman"/>
          <w:b w:val="false"/>
          <w:i w:val="false"/>
          <w:color w:val="000000"/>
          <w:sz w:val="22"/>
        </w:rPr>
        <w:t>(6) oversight responsibilities that may not be redelegated (e.g. annually reviewing BO and CH accounts, span of control);</w:t>
      </w:r>
    </w:p>
    <w:p>
      <w:pPr>
        <w:pBdr>
          <w:top w:space="5"/>
          <w:left w:space="5"/>
          <w:bottom w:space="5"/>
          <w:right w:space="5"/>
        </w:pBdr>
        <w:spacing w:after="0"/>
        <w:ind w:left="225"/>
        <w:jc w:val="left"/>
      </w:pPr>
      <w:r>
        <w:rPr>
          <w:rFonts w:ascii="Times New Roman" w:hAnsi="Times New Roman"/>
          <w:b w:val="false"/>
          <w:i w:val="false"/>
          <w:color w:val="000000"/>
          <w:sz w:val="22"/>
        </w:rPr>
        <w:t>(7) maintaining delegation of authority appointment letters and a current listing of all CHs and BOs under the Level 4 A/OPC’s jurisdiction;</w:t>
      </w:r>
    </w:p>
    <w:p>
      <w:pPr>
        <w:pBdr>
          <w:top w:space="5"/>
          <w:left w:space="5"/>
          <w:bottom w:space="5"/>
          <w:right w:space="5"/>
        </w:pBdr>
        <w:spacing w:after="0"/>
        <w:ind w:left="225"/>
        <w:jc w:val="left"/>
      </w:pPr>
      <w:r>
        <w:rPr>
          <w:rFonts w:ascii="Times New Roman" w:hAnsi="Times New Roman"/>
          <w:b w:val="false"/>
          <w:i w:val="false"/>
          <w:color w:val="000000"/>
          <w:sz w:val="22"/>
        </w:rPr>
        <w:t>(8) determining annually each CH’s continuing need to maintain an account;</w:t>
      </w:r>
    </w:p>
    <w:p>
      <w:pPr>
        <w:pBdr>
          <w:top w:space="5"/>
          <w:left w:space="5"/>
          <w:bottom w:space="5"/>
          <w:right w:space="5"/>
        </w:pBdr>
        <w:spacing w:after="0"/>
        <w:ind w:left="225"/>
        <w:jc w:val="left"/>
      </w:pPr>
      <w:r>
        <w:rPr>
          <w:rFonts w:ascii="Times New Roman" w:hAnsi="Times New Roman"/>
          <w:b w:val="false"/>
          <w:i w:val="false"/>
          <w:color w:val="000000"/>
          <w:sz w:val="22"/>
        </w:rPr>
        <w:t>(9) issuing purchase cards in controlled limited quantities to authorized personnel with a demonstrated need to make purchases when reasonably necessary to meet operational requirements;</w:t>
      </w:r>
    </w:p>
    <w:p>
      <w:pPr>
        <w:pBdr>
          <w:top w:space="5"/>
          <w:left w:space="5"/>
          <w:bottom w:space="5"/>
          <w:right w:space="5"/>
        </w:pBdr>
        <w:spacing w:after="0"/>
        <w:ind w:left="225"/>
        <w:jc w:val="left"/>
      </w:pPr>
      <w:r>
        <w:rPr>
          <w:rFonts w:ascii="Times New Roman" w:hAnsi="Times New Roman"/>
          <w:b w:val="false"/>
          <w:i w:val="false"/>
          <w:color w:val="000000"/>
          <w:sz w:val="22"/>
        </w:rPr>
        <w:t>(10) cancelling accounts with no activity for six months; or</w:t>
      </w:r>
    </w:p>
    <w:p>
      <w:pPr>
        <w:pBdr>
          <w:top w:space="5"/>
          <w:left w:space="5"/>
          <w:bottom w:space="5"/>
          <w:right w:space="5"/>
        </w:pBdr>
        <w:spacing w:after="0"/>
        <w:ind w:left="585"/>
        <w:jc w:val="left"/>
      </w:pPr>
      <w:r>
        <w:rPr>
          <w:rFonts w:ascii="Times New Roman" w:hAnsi="Times New Roman"/>
          <w:b w:val="false"/>
          <w:i w:val="false"/>
          <w:color w:val="000000"/>
          <w:sz w:val="22"/>
        </w:rPr>
        <w:t>a) set the single purchase limit to $1 in the event of unauthorized activity/fraud on the account.</w:t>
      </w:r>
    </w:p>
    <w:p>
      <w:pPr>
        <w:pBdr>
          <w:top w:space="5"/>
          <w:left w:space="5"/>
          <w:bottom w:space="5"/>
          <w:right w:space="5"/>
        </w:pBdr>
        <w:spacing w:after="0"/>
        <w:ind w:left="585"/>
        <w:jc w:val="left"/>
      </w:pPr>
      <w:r>
        <w:rPr>
          <w:rFonts w:ascii="Times New Roman" w:hAnsi="Times New Roman"/>
          <w:b w:val="false"/>
          <w:i w:val="false"/>
          <w:color w:val="000000"/>
          <w:sz w:val="22"/>
        </w:rPr>
        <w:t>b) receive justification in writing when individuals are deployed or other authorized absence for six months or longer;</w:t>
      </w:r>
    </w:p>
    <w:p>
      <w:pPr>
        <w:pBdr>
          <w:top w:space="5"/>
          <w:left w:space="5"/>
          <w:bottom w:space="5"/>
          <w:right w:space="5"/>
        </w:pBdr>
        <w:spacing w:after="0"/>
        <w:ind w:left="585"/>
        <w:jc w:val="left"/>
      </w:pPr>
      <w:r>
        <w:rPr>
          <w:rFonts w:ascii="Times New Roman" w:hAnsi="Times New Roman"/>
          <w:b w:val="false"/>
          <w:i w:val="false"/>
          <w:color w:val="000000"/>
          <w:sz w:val="22"/>
        </w:rPr>
        <w:t>c) receive justification in writing from BOs when accounts that have little activity must remain open in the event of an emergency service outage, emergency repair, contingency, etc.</w:t>
      </w:r>
    </w:p>
    <w:p>
      <w:pPr>
        <w:pBdr>
          <w:top w:space="5"/>
          <w:left w:space="5"/>
          <w:bottom w:space="5"/>
          <w:right w:space="5"/>
        </w:pBdr>
        <w:spacing w:after="0"/>
        <w:ind w:left="225"/>
        <w:jc w:val="left"/>
      </w:pPr>
      <w:r>
        <w:rPr>
          <w:rFonts w:ascii="Times New Roman" w:hAnsi="Times New Roman"/>
          <w:b w:val="false"/>
          <w:i w:val="false"/>
          <w:color w:val="000000"/>
          <w:sz w:val="22"/>
        </w:rPr>
        <w:t>(11) developing and implementing local procedures to identify and make CHs aware of unauthorized and prohibited items from purchase with the GPC;</w:t>
      </w:r>
    </w:p>
    <w:p>
      <w:pPr>
        <w:pBdr>
          <w:top w:space="5"/>
          <w:left w:space="5"/>
          <w:bottom w:space="5"/>
          <w:right w:space="5"/>
        </w:pBdr>
        <w:spacing w:after="0"/>
        <w:ind w:left="225"/>
        <w:jc w:val="left"/>
      </w:pPr>
      <w:r>
        <w:rPr>
          <w:rFonts w:ascii="Times New Roman" w:hAnsi="Times New Roman"/>
          <w:b w:val="false"/>
          <w:i w:val="false"/>
          <w:color w:val="000000"/>
          <w:sz w:val="22"/>
        </w:rPr>
        <w:t>(12) ensuring completion of the following training for all CHs and BOs (see Section 2-2 for training links);</w:t>
      </w:r>
    </w:p>
    <w:p>
      <w:pPr>
        <w:pBdr>
          <w:top w:space="5"/>
          <w:left w:space="5"/>
          <w:bottom w:space="5"/>
          <w:right w:space="5"/>
        </w:pBdr>
        <w:spacing w:after="0"/>
        <w:ind w:left="585"/>
        <w:jc w:val="left"/>
      </w:pPr>
      <w:r>
        <w:rPr>
          <w:rFonts w:ascii="Times New Roman" w:hAnsi="Times New Roman"/>
          <w:b w:val="false"/>
          <w:i w:val="false"/>
          <w:color w:val="000000"/>
          <w:sz w:val="22"/>
        </w:rPr>
        <w:t>a) mandatory Defense Acquisition University (DAU) initial GPC training</w:t>
      </w:r>
    </w:p>
    <w:p>
      <w:pPr>
        <w:pBdr>
          <w:top w:space="5"/>
          <w:left w:space="5"/>
          <w:bottom w:space="5"/>
          <w:right w:space="5"/>
        </w:pBdr>
        <w:spacing w:after="0"/>
        <w:ind w:left="585"/>
        <w:jc w:val="left"/>
      </w:pPr>
      <w:r>
        <w:rPr>
          <w:rFonts w:ascii="Times New Roman" w:hAnsi="Times New Roman"/>
          <w:b w:val="false"/>
          <w:i w:val="false"/>
          <w:color w:val="000000"/>
          <w:sz w:val="22"/>
        </w:rPr>
        <w:t>b) local specific agency training through any authorized training method deemed appropriate by the activity</w:t>
      </w:r>
    </w:p>
    <w:p>
      <w:pPr>
        <w:pBdr>
          <w:top w:space="5"/>
          <w:left w:space="5"/>
          <w:bottom w:space="5"/>
          <w:right w:space="5"/>
        </w:pBdr>
        <w:spacing w:after="0"/>
        <w:ind w:left="585"/>
        <w:jc w:val="left"/>
      </w:pPr>
      <w:r>
        <w:rPr>
          <w:rFonts w:ascii="Times New Roman" w:hAnsi="Times New Roman"/>
          <w:b w:val="false"/>
          <w:i w:val="false"/>
          <w:color w:val="000000"/>
          <w:sz w:val="22"/>
        </w:rPr>
        <w:t>c) mandatory refresher training every two years</w:t>
      </w:r>
    </w:p>
    <w:p>
      <w:pPr>
        <w:pBdr>
          <w:top w:space="5"/>
          <w:left w:space="5"/>
          <w:bottom w:space="5"/>
          <w:right w:space="5"/>
        </w:pBdr>
        <w:spacing w:after="0"/>
        <w:ind w:left="585"/>
        <w:jc w:val="left"/>
      </w:pPr>
      <w:r>
        <w:rPr>
          <w:rFonts w:ascii="Times New Roman" w:hAnsi="Times New Roman"/>
          <w:b w:val="false"/>
          <w:i w:val="false"/>
          <w:color w:val="000000"/>
          <w:sz w:val="22"/>
        </w:rPr>
        <w:t>d) mandatory annual ethics training</w:t>
      </w:r>
    </w:p>
    <w:p>
      <w:pPr>
        <w:pBdr>
          <w:top w:space="5"/>
          <w:left w:space="5"/>
          <w:bottom w:space="5"/>
          <w:right w:space="5"/>
        </w:pBdr>
        <w:spacing w:after="0"/>
        <w:ind w:left="585"/>
        <w:jc w:val="left"/>
      </w:pPr>
      <w:r>
        <w:rPr>
          <w:rFonts w:ascii="Times New Roman" w:hAnsi="Times New Roman"/>
          <w:b w:val="false"/>
          <w:i w:val="false"/>
          <w:color w:val="000000"/>
          <w:sz w:val="22"/>
        </w:rPr>
        <w:t>e) U.S. Bank Access Online web based training</w:t>
      </w:r>
    </w:p>
    <w:p>
      <w:pPr>
        <w:pBdr>
          <w:top w:space="5"/>
          <w:left w:space="5"/>
          <w:bottom w:space="5"/>
          <w:right w:space="5"/>
        </w:pBdr>
        <w:spacing w:after="0"/>
        <w:ind w:left="225"/>
        <w:jc w:val="left"/>
      </w:pPr>
      <w:r>
        <w:rPr>
          <w:rFonts w:ascii="Times New Roman" w:hAnsi="Times New Roman"/>
          <w:b w:val="false"/>
          <w:i w:val="false"/>
          <w:color w:val="000000"/>
          <w:sz w:val="22"/>
        </w:rPr>
        <w:t>(13) maintaining training records including a database of all completed training;</w:t>
      </w:r>
    </w:p>
    <w:p>
      <w:pPr>
        <w:pBdr>
          <w:top w:space="5"/>
          <w:left w:space="5"/>
          <w:bottom w:space="5"/>
          <w:right w:space="5"/>
        </w:pBdr>
        <w:spacing w:after="0"/>
        <w:ind w:left="225"/>
        <w:jc w:val="left"/>
      </w:pPr>
      <w:r>
        <w:rPr>
          <w:rFonts w:ascii="Times New Roman" w:hAnsi="Times New Roman"/>
          <w:b w:val="false"/>
          <w:i w:val="false"/>
          <w:color w:val="000000"/>
          <w:sz w:val="22"/>
        </w:rPr>
        <w:t>(14) monitoring bank transaction reports to disclose potential prohibited or improper use, and taking immediate action to address suspected legal or policy violations;</w:t>
      </w:r>
    </w:p>
    <w:p>
      <w:pPr>
        <w:pBdr>
          <w:top w:space="5"/>
          <w:left w:space="5"/>
          <w:bottom w:space="5"/>
          <w:right w:space="5"/>
        </w:pBdr>
        <w:spacing w:after="0"/>
        <w:ind w:left="225"/>
        <w:jc w:val="left"/>
      </w:pPr>
      <w:r>
        <w:rPr>
          <w:rFonts w:ascii="Times New Roman" w:hAnsi="Times New Roman"/>
          <w:b w:val="false"/>
          <w:i w:val="false"/>
          <w:color w:val="000000"/>
          <w:sz w:val="22"/>
        </w:rPr>
        <w:t>(15) monitoring bank transaction declination reports to identify potential fraud activity;</w:t>
      </w:r>
    </w:p>
    <w:p>
      <w:pPr>
        <w:pBdr>
          <w:top w:space="5"/>
          <w:left w:space="5"/>
          <w:bottom w:space="5"/>
          <w:right w:space="5"/>
        </w:pBdr>
        <w:spacing w:after="0"/>
        <w:ind w:left="225"/>
        <w:jc w:val="left"/>
      </w:pPr>
      <w:r>
        <w:rPr>
          <w:rFonts w:ascii="Times New Roman" w:hAnsi="Times New Roman"/>
          <w:b w:val="false"/>
          <w:i w:val="false"/>
          <w:color w:val="000000"/>
          <w:sz w:val="22"/>
        </w:rPr>
        <w:t>(16) conducting an annual review of each assigned BO’s records and procedures ensuring a minimum representative sample size review of 25% of all transactions;</w:t>
      </w:r>
    </w:p>
    <w:p>
      <w:pPr>
        <w:pBdr>
          <w:top w:space="5"/>
          <w:left w:space="5"/>
          <w:bottom w:space="5"/>
          <w:right w:space="5"/>
        </w:pBdr>
        <w:spacing w:after="0"/>
        <w:ind w:left="225"/>
        <w:jc w:val="left"/>
      </w:pPr>
      <w:r>
        <w:rPr>
          <w:rFonts w:ascii="Times New Roman" w:hAnsi="Times New Roman"/>
          <w:b w:val="false"/>
          <w:i w:val="false"/>
          <w:color w:val="000000"/>
          <w:sz w:val="22"/>
        </w:rPr>
        <w:t>(17) reviewing transactions and buying logs within four months of newly appointed CHs; and,</w:t>
      </w:r>
    </w:p>
    <w:p>
      <w:pPr>
        <w:pBdr>
          <w:top w:space="5"/>
          <w:left w:space="5"/>
          <w:bottom w:space="5"/>
          <w:right w:space="5"/>
        </w:pBdr>
        <w:spacing w:after="0"/>
        <w:ind w:left="225"/>
        <w:jc w:val="left"/>
      </w:pPr>
      <w:r>
        <w:rPr>
          <w:rFonts w:ascii="Times New Roman" w:hAnsi="Times New Roman"/>
          <w:b w:val="false"/>
          <w:i w:val="false"/>
          <w:color w:val="000000"/>
          <w:sz w:val="22"/>
        </w:rPr>
        <w:t>(18) processing requests for user identifications and passwords for the Servicing Bank’s Electronic Access System (EAS).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i w:val="false"/>
          <w:color w:val="000000"/>
          <w:sz w:val="22"/>
        </w:rPr>
        <w:t>Level</w:t>
      </w:r>
      <w:r>
        <w:rPr>
          <w:rFonts w:ascii="Times New Roman" w:hAnsi="Times New Roman"/>
          <w:b/>
          <w:i w:val="false"/>
          <w:color w:val="000000"/>
          <w:sz w:val="22"/>
        </w:rPr>
        <w:t>5</w:t>
      </w:r>
      <w:r>
        <w:rPr>
          <w:rFonts w:ascii="Times New Roman" w:hAnsi="Times New Roman"/>
          <w:b/>
          <w:i w:val="false"/>
          <w:color w:val="000000"/>
          <w:sz w:val="22"/>
        </w:rPr>
        <w:t>–</w:t>
      </w:r>
      <w:r>
        <w:rPr>
          <w:rFonts w:ascii="Times New Roman" w:hAnsi="Times New Roman"/>
          <w:b/>
          <w:i w:val="false"/>
          <w:color w:val="000000"/>
          <w:sz w:val="22"/>
        </w:rPr>
        <w:t>Billing Official</w:t>
      </w:r>
      <w:r>
        <w:rPr>
          <w:rFonts w:ascii="Times New Roman" w:hAnsi="Times New Roman"/>
          <w:b/>
          <w:i w:val="false"/>
          <w:color w:val="000000"/>
          <w:sz w:val="22"/>
        </w:rPr>
        <w:t>duties:</w:t>
      </w:r>
      <w:r>
        <w:rPr>
          <w:rFonts w:ascii="Times New Roman" w:hAnsi="Times New Roman"/>
          <w:b w:val="false"/>
          <w:i w:val="false"/>
          <w:color w:val="000000"/>
          <w:sz w:val="22"/>
        </w:rPr>
        <w:t xml:space="preserve"> Alternate BO duties are the same as the Primary BO, and should only be performed in the absence of the Primary BO.</w:t>
      </w:r>
    </w:p>
    <w:p>
      <w:pPr>
        <w:pBdr>
          <w:top w:space="5"/>
          <w:left w:space="5"/>
          <w:bottom w:space="5"/>
          <w:right w:space="5"/>
        </w:pBdr>
        <w:spacing w:after="0"/>
        <w:ind w:left="225"/>
        <w:jc w:val="left"/>
      </w:pPr>
      <w:r>
        <w:rPr>
          <w:rFonts w:ascii="Times New Roman" w:hAnsi="Times New Roman"/>
          <w:b w:val="false"/>
          <w:i w:val="false"/>
          <w:color w:val="000000"/>
          <w:sz w:val="22"/>
        </w:rPr>
        <w:t>(1) BO should be in the CH’s direct chain of command;</w:t>
      </w:r>
    </w:p>
    <w:p>
      <w:pPr>
        <w:pBdr>
          <w:top w:space="5"/>
          <w:left w:space="5"/>
          <w:bottom w:space="5"/>
          <w:right w:space="5"/>
        </w:pBdr>
        <w:spacing w:after="0"/>
        <w:ind w:left="225"/>
        <w:jc w:val="left"/>
      </w:pPr>
      <w:r>
        <w:rPr>
          <w:rFonts w:ascii="Times New Roman" w:hAnsi="Times New Roman"/>
          <w:b w:val="false"/>
          <w:i w:val="false"/>
          <w:color w:val="000000"/>
          <w:sz w:val="22"/>
        </w:rPr>
        <w:t>(2) providing written approval/disapproval of purchases to the CH;</w:t>
      </w:r>
    </w:p>
    <w:p>
      <w:pPr>
        <w:pBdr>
          <w:top w:space="5"/>
          <w:left w:space="5"/>
          <w:bottom w:space="5"/>
          <w:right w:space="5"/>
        </w:pBdr>
        <w:spacing w:after="0"/>
        <w:ind w:left="225"/>
        <w:jc w:val="left"/>
      </w:pPr>
      <w:r>
        <w:rPr>
          <w:rFonts w:ascii="Times New Roman" w:hAnsi="Times New Roman"/>
          <w:b w:val="false"/>
          <w:i w:val="false"/>
          <w:color w:val="000000"/>
          <w:sz w:val="22"/>
        </w:rPr>
        <w:t>(3) reconciling invoices and timely certifying the billing statement for payment and verifying payments to be legal, proper, necessary, and correct in accordance with government rules and regulations;</w:t>
      </w:r>
    </w:p>
    <w:p>
      <w:pPr>
        <w:pBdr>
          <w:top w:space="5"/>
          <w:left w:space="5"/>
          <w:bottom w:space="5"/>
          <w:right w:space="5"/>
        </w:pBdr>
        <w:spacing w:after="0"/>
        <w:ind w:left="225"/>
        <w:jc w:val="left"/>
      </w:pPr>
      <w:r>
        <w:rPr>
          <w:rFonts w:ascii="Times New Roman" w:hAnsi="Times New Roman"/>
          <w:b w:val="false"/>
          <w:i w:val="false"/>
          <w:color w:val="000000"/>
          <w:sz w:val="22"/>
        </w:rPr>
        <w:t>(4) ensuring CHs fulfill their responsibilities by conducting an annual review of all CHs:</w:t>
      </w:r>
    </w:p>
    <w:p>
      <w:pPr>
        <w:pBdr>
          <w:top w:space="5"/>
          <w:left w:space="5"/>
          <w:bottom w:space="5"/>
          <w:right w:space="5"/>
        </w:pBdr>
        <w:spacing w:after="0"/>
        <w:ind w:left="225"/>
        <w:jc w:val="left"/>
      </w:pPr>
      <w:r>
        <w:rPr>
          <w:rFonts w:ascii="Times New Roman" w:hAnsi="Times New Roman"/>
          <w:b w:val="false"/>
          <w:i w:val="false"/>
          <w:color w:val="000000"/>
          <w:sz w:val="22"/>
        </w:rPr>
        <w:t>(5) reporting questionable transactions to the Level 4 A/OPC and/or appropriate authorities for investigation;</w:t>
      </w:r>
    </w:p>
    <w:p>
      <w:pPr>
        <w:pBdr>
          <w:top w:space="5"/>
          <w:left w:space="5"/>
          <w:bottom w:space="5"/>
          <w:right w:space="5"/>
        </w:pBdr>
        <w:spacing w:after="0"/>
        <w:ind w:left="225"/>
        <w:jc w:val="left"/>
      </w:pPr>
      <w:r>
        <w:rPr>
          <w:rFonts w:ascii="Times New Roman" w:hAnsi="Times New Roman"/>
          <w:b w:val="false"/>
          <w:i w:val="false"/>
          <w:color w:val="000000"/>
          <w:sz w:val="22"/>
        </w:rPr>
        <w:t>(6) recommending in writing appropriate GPC credit limits to the Resource Manager and Level 4 A/OPC for CHs under the BO’s oversight;</w:t>
      </w:r>
    </w:p>
    <w:p>
      <w:pPr>
        <w:pBdr>
          <w:top w:space="5"/>
          <w:left w:space="5"/>
          <w:bottom w:space="5"/>
          <w:right w:space="5"/>
        </w:pBdr>
        <w:spacing w:after="0"/>
        <w:ind w:left="225"/>
        <w:jc w:val="left"/>
      </w:pPr>
      <w:r>
        <w:rPr>
          <w:rFonts w:ascii="Times New Roman" w:hAnsi="Times New Roman"/>
          <w:b w:val="false"/>
          <w:i w:val="false"/>
          <w:color w:val="000000"/>
          <w:sz w:val="22"/>
        </w:rPr>
        <w:t>(7) reviewing CH’s statement and approving CH statement in the CH’s absence within the required time frames;</w:t>
      </w:r>
    </w:p>
    <w:p>
      <w:pPr>
        <w:pBdr>
          <w:top w:space="5"/>
          <w:left w:space="5"/>
          <w:bottom w:space="5"/>
          <w:right w:space="5"/>
        </w:pBdr>
        <w:spacing w:after="0"/>
        <w:ind w:left="225"/>
        <w:jc w:val="left"/>
      </w:pPr>
      <w:r>
        <w:rPr>
          <w:rFonts w:ascii="Times New Roman" w:hAnsi="Times New Roman"/>
          <w:b w:val="false"/>
          <w:i w:val="false"/>
          <w:color w:val="000000"/>
          <w:sz w:val="22"/>
        </w:rPr>
        <w:t>(8) identifying and communicating billing discrepancies to the bank’s transaction dispute point of contact when the CH is unavailable - for Access Online users;</w:t>
      </w:r>
    </w:p>
    <w:p>
      <w:pPr>
        <w:pBdr>
          <w:top w:space="5"/>
          <w:left w:space="5"/>
          <w:bottom w:space="5"/>
          <w:right w:space="5"/>
        </w:pBdr>
        <w:spacing w:after="0"/>
        <w:ind w:left="225"/>
        <w:jc w:val="left"/>
      </w:pPr>
      <w:r>
        <w:rPr>
          <w:rFonts w:ascii="Times New Roman" w:hAnsi="Times New Roman"/>
          <w:b w:val="false"/>
          <w:i w:val="false"/>
          <w:color w:val="000000"/>
          <w:sz w:val="22"/>
        </w:rPr>
        <w:t>(9) retaining an electronic (printable) or manual copy of each billing statement, and maintaining with the billing statement all original supporting documentation, receipts, logs, invoices, delivery tickets, approvals, etc. for six years and three months after final payment;</w:t>
      </w:r>
    </w:p>
    <w:p>
      <w:pPr>
        <w:pBdr>
          <w:top w:space="5"/>
          <w:left w:space="5"/>
          <w:bottom w:space="5"/>
          <w:right w:space="5"/>
        </w:pBdr>
        <w:spacing w:after="0"/>
        <w:ind w:left="225"/>
        <w:jc w:val="left"/>
      </w:pPr>
      <w:r>
        <w:rPr>
          <w:rFonts w:ascii="Times New Roman" w:hAnsi="Times New Roman"/>
          <w:b w:val="false"/>
          <w:i w:val="false"/>
          <w:color w:val="000000"/>
          <w:sz w:val="22"/>
        </w:rPr>
        <w:t>(10) reviewing and reconciling CH statements against receipts and documentation;</w:t>
      </w:r>
    </w:p>
    <w:p>
      <w:pPr>
        <w:pBdr>
          <w:top w:space="5"/>
          <w:left w:space="5"/>
          <w:bottom w:space="5"/>
          <w:right w:space="5"/>
        </w:pBdr>
        <w:spacing w:after="0"/>
        <w:ind w:left="225"/>
        <w:jc w:val="left"/>
      </w:pPr>
      <w:r>
        <w:rPr>
          <w:rFonts w:ascii="Times New Roman" w:hAnsi="Times New Roman"/>
          <w:b w:val="false"/>
          <w:i w:val="false"/>
          <w:color w:val="000000"/>
          <w:sz w:val="22"/>
        </w:rPr>
        <w:t>(11) notifying the Level 4 A/OPC (in most cases 30 days prior to the event) to close any CH accounts for individuals who have transferred, terminated, are in “absent without leave” status, retired or have otherwise no further need for use of the GPC;</w:t>
      </w:r>
    </w:p>
    <w:p>
      <w:pPr>
        <w:pBdr>
          <w:top w:space="5"/>
          <w:left w:space="5"/>
          <w:bottom w:space="5"/>
          <w:right w:space="5"/>
        </w:pBdr>
        <w:spacing w:after="0"/>
        <w:ind w:left="225"/>
        <w:jc w:val="left"/>
      </w:pPr>
      <w:r>
        <w:rPr>
          <w:rFonts w:ascii="Times New Roman" w:hAnsi="Times New Roman"/>
          <w:b w:val="false"/>
          <w:i w:val="false"/>
          <w:color w:val="000000"/>
          <w:sz w:val="22"/>
        </w:rPr>
        <w:t>(12) notifying the Level 4 A/OPC of any lost, stolen or compromised cards (in addition to the CH’s immediate notification of the Servicing Bank) and submitting a report to the Level 4 A/OPC within five business days to detail the circumstances of the lost, stolen or compromised card;</w:t>
      </w:r>
    </w:p>
    <w:p>
      <w:pPr>
        <w:pBdr>
          <w:top w:space="5"/>
          <w:left w:space="5"/>
          <w:bottom w:space="5"/>
          <w:right w:space="5"/>
        </w:pBdr>
        <w:spacing w:after="0"/>
        <w:ind w:left="225"/>
        <w:jc w:val="left"/>
      </w:pPr>
      <w:r>
        <w:rPr>
          <w:rFonts w:ascii="Times New Roman" w:hAnsi="Times New Roman"/>
          <w:b w:val="false"/>
          <w:i w:val="false"/>
          <w:color w:val="000000"/>
          <w:sz w:val="22"/>
        </w:rPr>
        <w:t>(13) resolving any questionable purchases with the CH;</w:t>
      </w:r>
    </w:p>
    <w:p>
      <w:pPr>
        <w:pBdr>
          <w:top w:space="5"/>
          <w:left w:space="5"/>
          <w:bottom w:space="5"/>
          <w:right w:space="5"/>
        </w:pBdr>
        <w:spacing w:after="0"/>
        <w:ind w:left="225"/>
        <w:jc w:val="left"/>
      </w:pPr>
      <w:r>
        <w:rPr>
          <w:rFonts w:ascii="Times New Roman" w:hAnsi="Times New Roman"/>
          <w:b w:val="false"/>
          <w:i w:val="false"/>
          <w:color w:val="000000"/>
          <w:sz w:val="22"/>
        </w:rPr>
        <w:t>(14) certifying billing statements electronically within 5 business days for electronic data interchange (EDI) enabled accounts for Access Online users, and forward the official invoice to the Paying Office for payment in the case of manually paid accounts within 15 days of receipt;</w:t>
      </w:r>
    </w:p>
    <w:p>
      <w:pPr>
        <w:pBdr>
          <w:top w:space="5"/>
          <w:left w:space="5"/>
          <w:bottom w:space="5"/>
          <w:right w:space="5"/>
        </w:pBdr>
        <w:spacing w:after="0"/>
        <w:ind w:left="225"/>
        <w:jc w:val="left"/>
      </w:pPr>
      <w:r>
        <w:rPr>
          <w:rFonts w:ascii="Times New Roman" w:hAnsi="Times New Roman"/>
          <w:b w:val="false"/>
          <w:i w:val="false"/>
          <w:color w:val="000000"/>
          <w:sz w:val="22"/>
        </w:rPr>
        <w:t>(15) ensuring designation of the proper line of accounting;</w:t>
      </w:r>
    </w:p>
    <w:p>
      <w:pPr>
        <w:pBdr>
          <w:top w:space="5"/>
          <w:left w:space="5"/>
          <w:bottom w:space="5"/>
          <w:right w:space="5"/>
        </w:pBdr>
        <w:spacing w:after="0"/>
        <w:ind w:left="225"/>
        <w:jc w:val="left"/>
      </w:pPr>
      <w:r>
        <w:rPr>
          <w:rFonts w:ascii="Times New Roman" w:hAnsi="Times New Roman"/>
          <w:b w:val="false"/>
          <w:i w:val="false"/>
          <w:color w:val="000000"/>
          <w:sz w:val="22"/>
        </w:rPr>
        <w:t>(16) ensuring an Alternate BO is appointed;</w:t>
      </w:r>
    </w:p>
    <w:p>
      <w:pPr>
        <w:pBdr>
          <w:top w:space="5"/>
          <w:left w:space="5"/>
          <w:bottom w:space="5"/>
          <w:right w:space="5"/>
        </w:pBdr>
        <w:spacing w:after="0"/>
        <w:ind w:left="225"/>
        <w:jc w:val="left"/>
      </w:pPr>
      <w:r>
        <w:rPr>
          <w:rFonts w:ascii="Times New Roman" w:hAnsi="Times New Roman"/>
          <w:b w:val="false"/>
          <w:i w:val="false"/>
          <w:color w:val="000000"/>
          <w:sz w:val="22"/>
        </w:rPr>
        <w:t>(17) notifying the Level 4 A/OPC to terminate or reassign a BO account to a new BO prior to the BO’s reassignment to other duties and/or departure from the installation/activity;</w:t>
      </w:r>
    </w:p>
    <w:p>
      <w:pPr>
        <w:pBdr>
          <w:top w:space="5"/>
          <w:left w:space="5"/>
          <w:bottom w:space="5"/>
          <w:right w:space="5"/>
        </w:pBdr>
        <w:spacing w:after="0"/>
        <w:ind w:left="225"/>
        <w:jc w:val="left"/>
      </w:pPr>
      <w:r>
        <w:rPr>
          <w:rFonts w:ascii="Times New Roman" w:hAnsi="Times New Roman"/>
          <w:b w:val="false"/>
          <w:i w:val="false"/>
          <w:color w:val="000000"/>
          <w:sz w:val="22"/>
        </w:rPr>
        <w:t>(18) ensuring adequate funding exists prior to approving the purchase;</w:t>
      </w:r>
    </w:p>
    <w:p>
      <w:pPr>
        <w:pBdr>
          <w:top w:space="5"/>
          <w:left w:space="5"/>
          <w:bottom w:space="5"/>
          <w:right w:space="5"/>
        </w:pBdr>
        <w:spacing w:after="0"/>
        <w:ind w:left="225"/>
        <w:jc w:val="left"/>
      </w:pPr>
      <w:r>
        <w:rPr>
          <w:rFonts w:ascii="Times New Roman" w:hAnsi="Times New Roman"/>
          <w:b w:val="false"/>
          <w:i w:val="false"/>
          <w:color w:val="000000"/>
          <w:sz w:val="22"/>
        </w:rPr>
        <w:t>(19) working with the bank to resolve payment issues; and,</w:t>
      </w:r>
    </w:p>
    <w:p>
      <w:pPr>
        <w:pBdr>
          <w:top w:space="5"/>
          <w:left w:space="5"/>
          <w:bottom w:space="5"/>
          <w:right w:space="5"/>
        </w:pBdr>
        <w:spacing w:after="0"/>
        <w:ind w:left="225"/>
        <w:jc w:val="left"/>
      </w:pPr>
      <w:r>
        <w:rPr>
          <w:rFonts w:ascii="Times New Roman" w:hAnsi="Times New Roman"/>
          <w:b w:val="false"/>
          <w:i w:val="false"/>
          <w:color w:val="000000"/>
          <w:sz w:val="22"/>
        </w:rPr>
        <w:t>(20) performing an annual review of CH files using the checklist in Appendix D, Section 2 (separate review from the mandatory annual A/OPC review of BOs)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i w:val="false"/>
          <w:color w:val="000000"/>
          <w:sz w:val="22"/>
        </w:rPr>
        <w:t>Level</w:t>
      </w:r>
      <w:r>
        <w:rPr>
          <w:rFonts w:ascii="Times New Roman" w:hAnsi="Times New Roman"/>
          <w:b/>
          <w:i w:val="false"/>
          <w:color w:val="000000"/>
          <w:sz w:val="22"/>
        </w:rPr>
        <w:t>6</w:t>
      </w:r>
      <w:r>
        <w:rPr>
          <w:rFonts w:ascii="Times New Roman" w:hAnsi="Times New Roman"/>
          <w:b/>
          <w:i w:val="false"/>
          <w:color w:val="000000"/>
          <w:sz w:val="22"/>
        </w:rPr>
        <w:t>–</w:t>
      </w:r>
      <w:r>
        <w:rPr>
          <w:rFonts w:ascii="Times New Roman" w:hAnsi="Times New Roman"/>
          <w:b/>
          <w:i w:val="false"/>
          <w:color w:val="000000"/>
          <w:sz w:val="22"/>
        </w:rPr>
        <w:t>C</w:t>
      </w:r>
      <w:r>
        <w:rPr>
          <w:rFonts w:ascii="Times New Roman" w:hAnsi="Times New Roman"/>
          <w:b/>
          <w:i w:val="false"/>
          <w:color w:val="000000"/>
          <w:sz w:val="22"/>
        </w:rPr>
        <w:t>ard</w:t>
      </w:r>
      <w:r>
        <w:rPr>
          <w:rFonts w:ascii="Times New Roman" w:hAnsi="Times New Roman"/>
          <w:b/>
          <w:i w:val="false"/>
          <w:color w:val="000000"/>
          <w:sz w:val="22"/>
        </w:rPr>
        <w:t>holder</w:t>
      </w:r>
      <w:r>
        <w:rPr>
          <w:rFonts w:ascii="Times New Roman" w:hAnsi="Times New Roman"/>
          <w:b/>
          <w:i w:val="false"/>
          <w:color w:val="000000"/>
          <w:sz w:val="22"/>
        </w:rPr>
        <w:t>duties:</w:t>
      </w:r>
    </w:p>
    <w:p>
      <w:pPr>
        <w:pBdr>
          <w:top w:space="5"/>
          <w:left w:space="5"/>
          <w:bottom w:space="5"/>
          <w:right w:space="5"/>
        </w:pBdr>
        <w:spacing w:after="0"/>
        <w:ind w:left="225"/>
        <w:jc w:val="left"/>
      </w:pPr>
      <w:r>
        <w:rPr>
          <w:rFonts w:ascii="Times New Roman" w:hAnsi="Times New Roman"/>
          <w:b w:val="false"/>
          <w:i w:val="false"/>
          <w:color w:val="000000"/>
          <w:sz w:val="22"/>
        </w:rPr>
        <w:t>(1) making authorized purchases;</w:t>
      </w:r>
    </w:p>
    <w:p>
      <w:pPr>
        <w:pBdr>
          <w:top w:space="5"/>
          <w:left w:space="5"/>
          <w:bottom w:space="5"/>
          <w:right w:space="5"/>
        </w:pBdr>
        <w:spacing w:after="0"/>
        <w:ind w:left="225"/>
        <w:jc w:val="left"/>
      </w:pPr>
      <w:r>
        <w:rPr>
          <w:rFonts w:ascii="Times New Roman" w:hAnsi="Times New Roman"/>
          <w:b w:val="false"/>
          <w:i w:val="false"/>
          <w:color w:val="000000"/>
          <w:sz w:val="22"/>
        </w:rPr>
        <w:t>(2) collecting and maintaining the required documentation;</w:t>
      </w:r>
    </w:p>
    <w:p>
      <w:pPr>
        <w:pBdr>
          <w:top w:space="5"/>
          <w:left w:space="5"/>
          <w:bottom w:space="5"/>
          <w:right w:space="5"/>
        </w:pBdr>
        <w:spacing w:after="0"/>
        <w:ind w:left="225"/>
        <w:jc w:val="left"/>
      </w:pPr>
      <w:r>
        <w:rPr>
          <w:rFonts w:ascii="Times New Roman" w:hAnsi="Times New Roman"/>
          <w:b w:val="false"/>
          <w:i w:val="false"/>
          <w:color w:val="000000"/>
          <w:sz w:val="22"/>
        </w:rPr>
        <w:t>(3) maintaining files and records;</w:t>
      </w:r>
    </w:p>
    <w:p>
      <w:pPr>
        <w:pBdr>
          <w:top w:space="5"/>
          <w:left w:space="5"/>
          <w:bottom w:space="5"/>
          <w:right w:space="5"/>
        </w:pBdr>
        <w:spacing w:after="0"/>
        <w:ind w:left="225"/>
        <w:jc w:val="left"/>
      </w:pPr>
      <w:r>
        <w:rPr>
          <w:rFonts w:ascii="Times New Roman" w:hAnsi="Times New Roman"/>
          <w:b w:val="false"/>
          <w:i w:val="false"/>
          <w:color w:val="000000"/>
          <w:sz w:val="22"/>
        </w:rPr>
        <w:t>(4) rotating merchants when practicable;</w:t>
      </w:r>
    </w:p>
    <w:p>
      <w:pPr>
        <w:pBdr>
          <w:top w:space="5"/>
          <w:left w:space="5"/>
          <w:bottom w:space="5"/>
          <w:right w:space="5"/>
        </w:pBdr>
        <w:spacing w:after="0"/>
        <w:ind w:left="225"/>
        <w:jc w:val="left"/>
      </w:pPr>
      <w:r>
        <w:rPr>
          <w:rFonts w:ascii="Times New Roman" w:hAnsi="Times New Roman"/>
          <w:b w:val="false"/>
          <w:i w:val="false"/>
          <w:color w:val="000000"/>
          <w:sz w:val="22"/>
        </w:rPr>
        <w:t>(5) verifying independent receipt and acceptance of goods and services;</w:t>
      </w:r>
    </w:p>
    <w:p>
      <w:pPr>
        <w:pBdr>
          <w:top w:space="5"/>
          <w:left w:space="5"/>
          <w:bottom w:space="5"/>
          <w:right w:space="5"/>
        </w:pBdr>
        <w:spacing w:after="0"/>
        <w:ind w:left="225"/>
        <w:jc w:val="left"/>
      </w:pPr>
      <w:r>
        <w:rPr>
          <w:rFonts w:ascii="Times New Roman" w:hAnsi="Times New Roman"/>
          <w:b w:val="false"/>
          <w:i w:val="false"/>
          <w:color w:val="000000"/>
          <w:sz w:val="22"/>
        </w:rPr>
        <w:t>(6) verifying the establishment of the legitimate government need;</w:t>
      </w:r>
    </w:p>
    <w:p>
      <w:pPr>
        <w:pBdr>
          <w:top w:space="5"/>
          <w:left w:space="5"/>
          <w:bottom w:space="5"/>
          <w:right w:space="5"/>
        </w:pBdr>
        <w:spacing w:after="0"/>
        <w:ind w:left="225"/>
        <w:jc w:val="left"/>
      </w:pPr>
      <w:r>
        <w:rPr>
          <w:rFonts w:ascii="Times New Roman" w:hAnsi="Times New Roman"/>
          <w:b w:val="false"/>
          <w:i w:val="false"/>
          <w:color w:val="000000"/>
          <w:sz w:val="22"/>
        </w:rPr>
        <w:t>(7) complying with required sources:</w:t>
      </w:r>
    </w:p>
    <w:p>
      <w:pPr>
        <w:pBdr>
          <w:top w:space="5"/>
          <w:left w:space="5"/>
          <w:bottom w:space="5"/>
          <w:right w:space="5"/>
        </w:pBdr>
        <w:spacing w:after="0"/>
        <w:ind w:left="585"/>
        <w:jc w:val="left"/>
      </w:pPr>
      <w:r>
        <w:rPr>
          <w:rFonts w:ascii="Times New Roman" w:hAnsi="Times New Roman"/>
          <w:b w:val="false"/>
          <w:i w:val="false"/>
          <w:color w:val="000000"/>
          <w:sz w:val="22"/>
        </w:rPr>
        <w:t>(a) FAR Part 8 and DFARS 208 Required Sources of Supply/Service</w:t>
      </w:r>
    </w:p>
    <w:p>
      <w:pPr>
        <w:pBdr>
          <w:top w:space="5"/>
          <w:left w:space="5"/>
          <w:bottom w:space="5"/>
          <w:right w:space="5"/>
        </w:pBdr>
        <w:spacing w:after="0"/>
        <w:ind w:left="585"/>
        <w:jc w:val="left"/>
      </w:pPr>
      <w:r>
        <w:rPr>
          <w:rFonts w:ascii="Times New Roman" w:hAnsi="Times New Roman"/>
          <w:b w:val="false"/>
          <w:i w:val="false"/>
          <w:color w:val="000000"/>
          <w:sz w:val="22"/>
        </w:rPr>
        <w:t>(b) Utilize mandatory BPAs to purchase office supplies</w:t>
      </w:r>
    </w:p>
    <w:p>
      <w:pPr>
        <w:pBdr>
          <w:top w:space="5"/>
          <w:left w:space="5"/>
          <w:bottom w:space="5"/>
          <w:right w:space="5"/>
        </w:pBdr>
        <w:spacing w:after="0"/>
        <w:ind w:left="585"/>
        <w:jc w:val="left"/>
      </w:pPr>
      <w:r>
        <w:rPr>
          <w:rFonts w:ascii="Times New Roman" w:hAnsi="Times New Roman"/>
          <w:b w:val="false"/>
          <w:i w:val="false"/>
          <w:color w:val="000000"/>
          <w:sz w:val="22"/>
        </w:rPr>
        <w:t>(c) Utilize CHESS for IT hardware and software purchases;</w:t>
      </w:r>
    </w:p>
    <w:p>
      <w:pPr>
        <w:pBdr>
          <w:top w:space="5"/>
          <w:left w:space="5"/>
          <w:bottom w:space="5"/>
          <w:right w:space="5"/>
        </w:pBdr>
        <w:spacing w:after="0"/>
        <w:ind w:left="585"/>
        <w:jc w:val="left"/>
      </w:pPr>
      <w:r>
        <w:rPr>
          <w:rFonts w:ascii="Times New Roman" w:hAnsi="Times New Roman"/>
          <w:b w:val="false"/>
          <w:i w:val="false"/>
          <w:color w:val="000000"/>
          <w:sz w:val="22"/>
        </w:rPr>
        <w:t>(d) Section 508 of the Rehabilitation Act of 1973, as amended (29 U.S.C. §794d)</w:t>
      </w:r>
    </w:p>
    <w:p>
      <w:pPr>
        <w:pBdr>
          <w:top w:space="5"/>
          <w:left w:space="5"/>
          <w:bottom w:space="5"/>
          <w:right w:space="5"/>
        </w:pBdr>
        <w:spacing w:after="0"/>
        <w:ind w:left="585"/>
        <w:jc w:val="left"/>
      </w:pPr>
      <w:r>
        <w:rPr>
          <w:rFonts w:ascii="Times New Roman" w:hAnsi="Times New Roman"/>
          <w:b w:val="false"/>
          <w:i w:val="false"/>
          <w:color w:val="000000"/>
          <w:sz w:val="22"/>
        </w:rPr>
        <w:t>(e) Environmentally Preferable Purchasing (EPP). FAR Part 23.</w:t>
      </w:r>
    </w:p>
    <w:p>
      <w:pPr>
        <w:pBdr>
          <w:top w:space="5"/>
          <w:left w:space="5"/>
          <w:bottom w:space="5"/>
          <w:right w:space="5"/>
        </w:pBdr>
        <w:spacing w:after="0"/>
        <w:ind w:left="225"/>
        <w:jc w:val="left"/>
      </w:pPr>
      <w:r>
        <w:rPr>
          <w:rFonts w:ascii="Times New Roman" w:hAnsi="Times New Roman"/>
          <w:b w:val="false"/>
          <w:i w:val="false"/>
          <w:color w:val="000000"/>
          <w:sz w:val="22"/>
        </w:rPr>
        <w:t>(8) obtaining all required pre-purchase approvals in support of requirements;</w:t>
      </w:r>
    </w:p>
    <w:p>
      <w:pPr>
        <w:pBdr>
          <w:top w:space="5"/>
          <w:left w:space="5"/>
          <w:bottom w:space="5"/>
          <w:right w:space="5"/>
        </w:pBdr>
        <w:spacing w:after="0"/>
        <w:ind w:left="225"/>
        <w:jc w:val="left"/>
      </w:pPr>
      <w:r>
        <w:rPr>
          <w:rFonts w:ascii="Times New Roman" w:hAnsi="Times New Roman"/>
          <w:b w:val="false"/>
          <w:i w:val="false"/>
          <w:color w:val="000000"/>
          <w:sz w:val="22"/>
        </w:rPr>
        <w:t>(9) Screen all requirements for their availability from the mandatory Government sources of supply (i.e. Office Supplies - FSSI BPAs on Army Corridor of DOD EMALL);</w:t>
      </w:r>
    </w:p>
    <w:p>
      <w:pPr>
        <w:pBdr>
          <w:top w:space="5"/>
          <w:left w:space="5"/>
          <w:bottom w:space="5"/>
          <w:right w:space="5"/>
        </w:pBdr>
        <w:spacing w:after="0"/>
        <w:ind w:left="225"/>
        <w:jc w:val="left"/>
      </w:pPr>
      <w:r>
        <w:rPr>
          <w:rFonts w:ascii="Times New Roman" w:hAnsi="Times New Roman"/>
          <w:b w:val="false"/>
          <w:i w:val="false"/>
          <w:color w:val="000000"/>
          <w:sz w:val="22"/>
        </w:rPr>
        <w:t>(10) verifying receipt/acceptance of purchased goods or services received including tracking of partial shipments and components that must be received within the dispute window;</w:t>
      </w:r>
    </w:p>
    <w:p>
      <w:pPr>
        <w:pBdr>
          <w:top w:space="5"/>
          <w:left w:space="5"/>
          <w:bottom w:space="5"/>
          <w:right w:space="5"/>
        </w:pBdr>
        <w:spacing w:after="0"/>
        <w:ind w:left="225"/>
        <w:jc w:val="left"/>
      </w:pPr>
      <w:r>
        <w:rPr>
          <w:rFonts w:ascii="Times New Roman" w:hAnsi="Times New Roman"/>
          <w:b w:val="false"/>
          <w:i w:val="false"/>
          <w:color w:val="000000"/>
          <w:sz w:val="22"/>
        </w:rPr>
        <w:t>(11) reviewing and reconciling monthly statements;</w:t>
      </w:r>
    </w:p>
    <w:p>
      <w:pPr>
        <w:pBdr>
          <w:top w:space="5"/>
          <w:left w:space="5"/>
          <w:bottom w:space="5"/>
          <w:right w:space="5"/>
        </w:pBdr>
        <w:spacing w:after="0"/>
        <w:ind w:left="225"/>
        <w:jc w:val="left"/>
      </w:pPr>
      <w:r>
        <w:rPr>
          <w:rFonts w:ascii="Times New Roman" w:hAnsi="Times New Roman"/>
          <w:b w:val="false"/>
          <w:i w:val="false"/>
          <w:color w:val="000000"/>
          <w:sz w:val="22"/>
        </w:rPr>
        <w:t>(12) resolving unauthorized, erroneous, or questionable transactions with merchants;</w:t>
      </w:r>
    </w:p>
    <w:p>
      <w:pPr>
        <w:pBdr>
          <w:top w:space="5"/>
          <w:left w:space="5"/>
          <w:bottom w:space="5"/>
          <w:right w:space="5"/>
        </w:pBdr>
        <w:spacing w:after="0"/>
        <w:ind w:left="225"/>
        <w:jc w:val="left"/>
      </w:pPr>
      <w:r>
        <w:rPr>
          <w:rFonts w:ascii="Times New Roman" w:hAnsi="Times New Roman"/>
          <w:b w:val="false"/>
          <w:i w:val="false"/>
          <w:color w:val="000000"/>
          <w:sz w:val="22"/>
        </w:rPr>
        <w:t>(13) disputing questionable transactions and disputing with the merchant any unresolved transaction for which a charge occurred during the prior billing cycle(s) but the item(s) have not been received, and tracking the dispute to completion;</w:t>
      </w:r>
    </w:p>
    <w:p>
      <w:pPr>
        <w:pBdr>
          <w:top w:space="5"/>
          <w:left w:space="5"/>
          <w:bottom w:space="5"/>
          <w:right w:space="5"/>
        </w:pBdr>
        <w:spacing w:after="0"/>
        <w:ind w:left="225"/>
        <w:jc w:val="left"/>
      </w:pPr>
      <w:r>
        <w:rPr>
          <w:rFonts w:ascii="Times New Roman" w:hAnsi="Times New Roman"/>
          <w:b w:val="false"/>
          <w:i w:val="false"/>
          <w:color w:val="000000"/>
          <w:sz w:val="22"/>
        </w:rPr>
        <w:t>(14) notifying the BO of unusual/questionable requests and disputable transactions;</w:t>
      </w:r>
    </w:p>
    <w:p>
      <w:pPr>
        <w:pBdr>
          <w:top w:space="5"/>
          <w:left w:space="5"/>
          <w:bottom w:space="5"/>
          <w:right w:space="5"/>
        </w:pBdr>
        <w:spacing w:after="0"/>
        <w:ind w:left="225"/>
        <w:jc w:val="left"/>
      </w:pPr>
      <w:r>
        <w:rPr>
          <w:rFonts w:ascii="Times New Roman" w:hAnsi="Times New Roman"/>
          <w:b w:val="false"/>
          <w:i w:val="false"/>
          <w:color w:val="000000"/>
          <w:sz w:val="22"/>
        </w:rPr>
        <w:t>(15) maintaining physical security of the GPC (and convenience checks) to avoid unauthorized use, allow no one but the CH to use the GPC, and do not release the GPC account number to entities other than a merchant processing a transaction;</w:t>
      </w:r>
    </w:p>
    <w:p>
      <w:pPr>
        <w:pBdr>
          <w:top w:space="5"/>
          <w:left w:space="5"/>
          <w:bottom w:space="5"/>
          <w:right w:space="5"/>
        </w:pBdr>
        <w:spacing w:after="0"/>
        <w:ind w:left="225"/>
        <w:jc w:val="left"/>
      </w:pPr>
      <w:r>
        <w:rPr>
          <w:rFonts w:ascii="Times New Roman" w:hAnsi="Times New Roman"/>
          <w:b w:val="false"/>
          <w:i w:val="false"/>
          <w:color w:val="000000"/>
          <w:sz w:val="22"/>
        </w:rPr>
        <w:t>(16) notifying the BO of a lost, stolen, or compromised GPC within one business day so the BO can meet the requirement to submit a report to the Level 4 A/OPC within five business days;</w:t>
      </w:r>
    </w:p>
    <w:p>
      <w:pPr>
        <w:pBdr>
          <w:top w:space="5"/>
          <w:left w:space="5"/>
          <w:bottom w:space="5"/>
          <w:right w:space="5"/>
        </w:pBdr>
        <w:spacing w:after="0"/>
        <w:ind w:left="225"/>
        <w:jc w:val="left"/>
      </w:pPr>
      <w:r>
        <w:rPr>
          <w:rFonts w:ascii="Times New Roman" w:hAnsi="Times New Roman"/>
          <w:b w:val="false"/>
          <w:i w:val="false"/>
          <w:color w:val="000000"/>
          <w:sz w:val="22"/>
        </w:rPr>
        <w:t>(17) maintaining the Servicing Bank’s electronic access system (EAS) purchase log throughout the billing cycle, reconciling all transactions, and approving the statement of account within three business days of the end of the billing cycle;</w:t>
      </w:r>
    </w:p>
    <w:p>
      <w:pPr>
        <w:pBdr>
          <w:top w:space="5"/>
          <w:left w:space="5"/>
          <w:bottom w:space="5"/>
          <w:right w:space="5"/>
        </w:pBdr>
        <w:spacing w:after="0"/>
        <w:ind w:left="225"/>
        <w:jc w:val="left"/>
      </w:pPr>
      <w:r>
        <w:rPr>
          <w:rFonts w:ascii="Times New Roman" w:hAnsi="Times New Roman"/>
          <w:b w:val="false"/>
          <w:i w:val="false"/>
          <w:color w:val="000000"/>
          <w:sz w:val="22"/>
        </w:rPr>
        <w:t>(18) maintaining a manual purchase log if the electronic purchase log is not accessible;</w:t>
      </w:r>
    </w:p>
    <w:p>
      <w:pPr>
        <w:pBdr>
          <w:top w:space="5"/>
          <w:left w:space="5"/>
          <w:bottom w:space="5"/>
          <w:right w:space="5"/>
        </w:pBdr>
        <w:spacing w:after="0"/>
        <w:ind w:left="225"/>
        <w:jc w:val="left"/>
      </w:pPr>
      <w:r>
        <w:rPr>
          <w:rFonts w:ascii="Times New Roman" w:hAnsi="Times New Roman"/>
          <w:b w:val="false"/>
          <w:i w:val="false"/>
          <w:color w:val="000000"/>
          <w:sz w:val="22"/>
        </w:rPr>
        <w:t>(19) ensuring adequate funding is available prior to the purchase;</w:t>
      </w:r>
    </w:p>
    <w:p>
      <w:pPr>
        <w:pBdr>
          <w:top w:space="5"/>
          <w:left w:space="5"/>
          <w:bottom w:space="5"/>
          <w:right w:space="5"/>
        </w:pBdr>
        <w:spacing w:after="0"/>
        <w:ind w:left="225"/>
        <w:jc w:val="left"/>
      </w:pPr>
      <w:r>
        <w:rPr>
          <w:rFonts w:ascii="Times New Roman" w:hAnsi="Times New Roman"/>
          <w:b w:val="false"/>
          <w:i w:val="false"/>
          <w:color w:val="000000"/>
          <w:sz w:val="22"/>
        </w:rPr>
        <w:t>(20) properly allocating the transactions to the proper line of accounting;</w:t>
      </w:r>
    </w:p>
    <w:p>
      <w:pPr>
        <w:pBdr>
          <w:top w:space="5"/>
          <w:left w:space="5"/>
          <w:bottom w:space="5"/>
          <w:right w:space="5"/>
        </w:pBdr>
        <w:spacing w:after="0"/>
        <w:ind w:left="225"/>
        <w:jc w:val="left"/>
      </w:pPr>
      <w:r>
        <w:rPr>
          <w:rFonts w:ascii="Times New Roman" w:hAnsi="Times New Roman"/>
          <w:b w:val="false"/>
          <w:i w:val="false"/>
          <w:color w:val="000000"/>
          <w:sz w:val="22"/>
        </w:rPr>
        <w:t>(21) checking with the Property Book Officer to determine what is considered pilferable property to be recorded in the property control systems records or which items can be placed on a hand receipt;</w:t>
      </w:r>
    </w:p>
    <w:p>
      <w:pPr>
        <w:pBdr>
          <w:top w:space="5"/>
          <w:left w:space="5"/>
          <w:bottom w:space="5"/>
          <w:right w:space="5"/>
        </w:pBdr>
        <w:spacing w:after="0"/>
        <w:ind w:left="225"/>
        <w:jc w:val="left"/>
      </w:pPr>
      <w:r>
        <w:rPr>
          <w:rFonts w:ascii="Times New Roman" w:hAnsi="Times New Roman"/>
          <w:b w:val="false"/>
          <w:i w:val="false"/>
          <w:color w:val="000000"/>
          <w:sz w:val="22"/>
        </w:rPr>
        <w:t>(22) ensuring all pilferable and other vulnerable property receipts are provided to the supporting Property Book Officer (PBO) within five working days to enable the PBO to establish accountability and asset-safeguarding controls by recording the asset in the property control system records;</w:t>
      </w:r>
    </w:p>
    <w:p>
      <w:pPr>
        <w:pBdr>
          <w:top w:space="5"/>
          <w:left w:space="5"/>
          <w:bottom w:space="5"/>
          <w:right w:space="5"/>
        </w:pBdr>
        <w:spacing w:after="0"/>
        <w:ind w:left="225"/>
        <w:jc w:val="left"/>
      </w:pPr>
      <w:r>
        <w:rPr>
          <w:rFonts w:ascii="Times New Roman" w:hAnsi="Times New Roman"/>
          <w:b w:val="false"/>
          <w:i w:val="false"/>
          <w:color w:val="000000"/>
          <w:sz w:val="22"/>
        </w:rPr>
        <w:t>(23) notifying the BO prior to departure, when you are on leave or travel and are not available to promptly sign and forward the CH statement of account. Forward all sales receipts and credit vouchers to the BO; and,</w:t>
      </w:r>
    </w:p>
    <w:p>
      <w:pPr>
        <w:pBdr>
          <w:top w:space="5"/>
          <w:left w:space="5"/>
          <w:bottom w:space="5"/>
          <w:right w:space="5"/>
        </w:pBdr>
        <w:spacing w:after="0"/>
        <w:ind w:left="225"/>
        <w:jc w:val="left"/>
      </w:pPr>
      <w:r>
        <w:rPr>
          <w:rFonts w:ascii="Times New Roman" w:hAnsi="Times New Roman"/>
          <w:b w:val="false"/>
          <w:i w:val="false"/>
          <w:color w:val="000000"/>
          <w:sz w:val="22"/>
        </w:rPr>
        <w:t>(24) providing to the BO upon departure the disposition of CH records and transfer all CH records to the BO with all statements, supporting documentation, receipts, logs.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f. </w:t>
      </w:r>
      <w:r>
        <w:rPr>
          <w:rFonts w:ascii="Times New Roman" w:hAnsi="Times New Roman"/>
          <w:b/>
          <w:i w:val="false"/>
          <w:color w:val="000000"/>
          <w:sz w:val="22"/>
        </w:rPr>
        <w:t>Resource Managers</w:t>
      </w:r>
      <w:r>
        <w:rPr>
          <w:rFonts w:ascii="Times New Roman" w:hAnsi="Times New Roman"/>
          <w:b/>
          <w:i w:val="false"/>
          <w:color w:val="000000"/>
          <w:sz w:val="22"/>
        </w:rPr>
        <w:t>(RMs)</w:t>
      </w:r>
      <w:r>
        <w:rPr>
          <w:rFonts w:ascii="Times New Roman" w:hAnsi="Times New Roman"/>
          <w:b w:val="false"/>
          <w:i w:val="false"/>
          <w:color w:val="000000"/>
          <w:sz w:val="22"/>
        </w:rPr>
        <w:t xml:space="preserve"> fund GPC purchases using the General Fund Enterprise Business System (GFEBS), and in the case of organizations on legacy systems, continue to use the “bulk” method in lieu of creating and citing unique accounting classifications for each individual GPC purchase. The bulk funding method requires a periodic (monthly, bimonthly, quarterly, or annually) fund reservation, through obligation, equal to the anticipated purchases for that period. Bulk funds may be assigned as a single line of accounting to each CH account to cover anticipated GPC purchases for a specified period. The Resource Manager’s duties:</w:t>
      </w:r>
    </w:p>
    <w:p>
      <w:pPr>
        <w:pBdr>
          <w:top w:space="5"/>
          <w:left w:space="5"/>
          <w:bottom w:space="5"/>
          <w:right w:space="5"/>
        </w:pBdr>
        <w:spacing w:after="0"/>
        <w:ind w:left="225"/>
        <w:jc w:val="left"/>
      </w:pPr>
      <w:r>
        <w:rPr>
          <w:rFonts w:ascii="Times New Roman" w:hAnsi="Times New Roman"/>
          <w:b w:val="false"/>
          <w:i w:val="false"/>
          <w:color w:val="000000"/>
          <w:sz w:val="22"/>
        </w:rPr>
        <w:t>(1) Provide a system of positive funds control by coordinating credit and cycle limits with the BO and Level 4 A/OPC;</w:t>
      </w:r>
    </w:p>
    <w:p>
      <w:pPr>
        <w:pBdr>
          <w:top w:space="5"/>
          <w:left w:space="5"/>
          <w:bottom w:space="5"/>
          <w:right w:space="5"/>
        </w:pBdr>
        <w:spacing w:after="0"/>
        <w:ind w:left="225"/>
        <w:jc w:val="left"/>
      </w:pPr>
      <w:r>
        <w:rPr>
          <w:rFonts w:ascii="Times New Roman" w:hAnsi="Times New Roman"/>
          <w:b w:val="false"/>
          <w:i w:val="false"/>
          <w:color w:val="000000"/>
          <w:sz w:val="22"/>
        </w:rPr>
        <w:t>(2) establishing funding for each account, at either the CH or BO level; non-applicable to U.S. Army Corps of Engineers;</w:t>
      </w:r>
    </w:p>
    <w:p>
      <w:pPr>
        <w:pBdr>
          <w:top w:space="5"/>
          <w:left w:space="5"/>
          <w:bottom w:space="5"/>
          <w:right w:space="5"/>
        </w:pBdr>
        <w:spacing w:after="0"/>
        <w:ind w:left="225"/>
        <w:jc w:val="left"/>
      </w:pPr>
      <w:r>
        <w:rPr>
          <w:rFonts w:ascii="Times New Roman" w:hAnsi="Times New Roman"/>
          <w:b w:val="false"/>
          <w:i w:val="false"/>
          <w:color w:val="000000"/>
          <w:sz w:val="22"/>
        </w:rPr>
        <w:t>(3) assisting the Level 4 A/OPC in establishing and maintaining BO and CH accounts in the Servicing Bank’s EAS; non-applicable to U.S. Army Corps of Engineers;</w:t>
      </w:r>
    </w:p>
    <w:p>
      <w:pPr>
        <w:pBdr>
          <w:top w:space="5"/>
          <w:left w:space="5"/>
          <w:bottom w:space="5"/>
          <w:right w:space="5"/>
        </w:pBdr>
        <w:spacing w:after="0"/>
        <w:ind w:left="225"/>
        <w:jc w:val="left"/>
      </w:pPr>
      <w:r>
        <w:rPr>
          <w:rFonts w:ascii="Times New Roman" w:hAnsi="Times New Roman"/>
          <w:b w:val="false"/>
          <w:i w:val="false"/>
          <w:color w:val="000000"/>
          <w:sz w:val="22"/>
        </w:rPr>
        <w:t>(4) assigning default and alternate lines of accounting as appropriate;</w:t>
      </w:r>
    </w:p>
    <w:p>
      <w:pPr>
        <w:pBdr>
          <w:top w:space="5"/>
          <w:left w:space="5"/>
          <w:bottom w:space="5"/>
          <w:right w:space="5"/>
        </w:pBdr>
        <w:spacing w:after="0"/>
        <w:ind w:left="225"/>
        <w:jc w:val="left"/>
      </w:pPr>
      <w:r>
        <w:rPr>
          <w:rFonts w:ascii="Times New Roman" w:hAnsi="Times New Roman"/>
          <w:b w:val="false"/>
          <w:i w:val="false"/>
          <w:color w:val="000000"/>
          <w:sz w:val="22"/>
        </w:rPr>
        <w:t>(5) ensuring obligations are posted prior to invoicing for non-EDI accounts;</w:t>
      </w:r>
    </w:p>
    <w:p>
      <w:pPr>
        <w:pBdr>
          <w:top w:space="5"/>
          <w:left w:space="5"/>
          <w:bottom w:space="5"/>
          <w:right w:space="5"/>
        </w:pBdr>
        <w:spacing w:after="0"/>
        <w:ind w:left="225"/>
        <w:jc w:val="left"/>
      </w:pPr>
      <w:r>
        <w:rPr>
          <w:rFonts w:ascii="Times New Roman" w:hAnsi="Times New Roman"/>
          <w:b w:val="false"/>
          <w:i w:val="false"/>
          <w:color w:val="000000"/>
          <w:sz w:val="22"/>
        </w:rPr>
        <w:t>(6) assisting with resolving accounts that are in a delinquent status and providing payment information when requested;</w:t>
      </w:r>
    </w:p>
    <w:p>
      <w:pPr>
        <w:pBdr>
          <w:top w:space="5"/>
          <w:left w:space="5"/>
          <w:bottom w:space="5"/>
          <w:right w:space="5"/>
        </w:pBdr>
        <w:spacing w:after="0"/>
        <w:ind w:left="225"/>
        <w:jc w:val="left"/>
      </w:pPr>
      <w:r>
        <w:rPr>
          <w:rFonts w:ascii="Times New Roman" w:hAnsi="Times New Roman"/>
          <w:b w:val="false"/>
          <w:i w:val="false"/>
          <w:color w:val="000000"/>
          <w:sz w:val="22"/>
        </w:rPr>
        <w:t>(7) assisting the Level 4 A/OPC with the surveillance of assigned accounts;</w:t>
      </w:r>
    </w:p>
    <w:p>
      <w:pPr>
        <w:pBdr>
          <w:top w:space="5"/>
          <w:left w:space="5"/>
          <w:bottom w:space="5"/>
          <w:right w:space="5"/>
        </w:pBdr>
        <w:spacing w:after="0"/>
        <w:ind w:left="225"/>
        <w:jc w:val="left"/>
      </w:pPr>
      <w:r>
        <w:rPr>
          <w:rFonts w:ascii="Times New Roman" w:hAnsi="Times New Roman"/>
          <w:b w:val="false"/>
          <w:i w:val="false"/>
          <w:color w:val="000000"/>
          <w:sz w:val="22"/>
        </w:rPr>
        <w:t>(8) monitoring GFEBS daily to identify account payment issues to prevent and resolve GPC payment delinquencies, correct Intermediate Document (IDOC) errors, and provide payment information upon request; and,</w:t>
      </w:r>
    </w:p>
    <w:p>
      <w:pPr>
        <w:pBdr>
          <w:top w:space="5"/>
          <w:left w:space="5"/>
          <w:bottom w:space="5"/>
          <w:right w:space="5"/>
        </w:pBdr>
        <w:spacing w:after="0"/>
        <w:ind w:left="225"/>
        <w:jc w:val="left"/>
      </w:pPr>
      <w:r>
        <w:rPr>
          <w:rFonts w:ascii="Times New Roman" w:hAnsi="Times New Roman"/>
          <w:b w:val="false"/>
          <w:i w:val="false"/>
          <w:color w:val="000000"/>
          <w:sz w:val="22"/>
        </w:rPr>
        <w:t>(9) providing guidance and training to installation RMs, certifying officials, and cardholders on GFEBS processes.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g. </w:t>
      </w:r>
      <w:r>
        <w:rPr>
          <w:rFonts w:ascii="Times New Roman" w:hAnsi="Times New Roman"/>
          <w:b/>
          <w:i w:val="false"/>
          <w:color w:val="000000"/>
          <w:sz w:val="22"/>
        </w:rPr>
        <w:t>Defense Finance and Accounting Service (DFAS)</w:t>
      </w:r>
      <w:r>
        <w:rPr>
          <w:rFonts w:ascii="Times New Roman" w:hAnsi="Times New Roman"/>
          <w:b w:val="false"/>
          <w:i w:val="false"/>
          <w:color w:val="000000"/>
          <w:sz w:val="22"/>
        </w:rPr>
        <w:t xml:space="preserve"> duties:</w:t>
      </w:r>
    </w:p>
    <w:p>
      <w:pPr>
        <w:pBdr>
          <w:top w:space="5"/>
          <w:left w:space="5"/>
          <w:bottom w:space="5"/>
          <w:right w:space="5"/>
        </w:pBdr>
        <w:spacing w:after="0"/>
        <w:ind w:left="225"/>
        <w:jc w:val="left"/>
      </w:pPr>
      <w:r>
        <w:rPr>
          <w:rFonts w:ascii="Times New Roman" w:hAnsi="Times New Roman"/>
          <w:b w:val="false"/>
          <w:i w:val="false"/>
          <w:color w:val="000000"/>
          <w:sz w:val="22"/>
        </w:rPr>
        <w:t>(1) maintaining the DD Form 577 for certifying officials;</w:t>
      </w:r>
    </w:p>
    <w:p>
      <w:pPr>
        <w:pBdr>
          <w:top w:space="5"/>
          <w:left w:space="5"/>
          <w:bottom w:space="5"/>
          <w:right w:space="5"/>
        </w:pBdr>
        <w:spacing w:after="0"/>
        <w:ind w:left="225"/>
        <w:jc w:val="left"/>
      </w:pPr>
      <w:r>
        <w:rPr>
          <w:rFonts w:ascii="Times New Roman" w:hAnsi="Times New Roman"/>
          <w:b w:val="false"/>
          <w:i w:val="false"/>
          <w:color w:val="000000"/>
          <w:sz w:val="22"/>
        </w:rPr>
        <w:t>(2) receiving and processing EDI transaction sets 821, Obligation Files; and 810, invoice files, and notifying the responsible installation or activity when the corresponding files are not received;</w:t>
      </w:r>
    </w:p>
    <w:p>
      <w:pPr>
        <w:pBdr>
          <w:top w:space="5"/>
          <w:left w:space="5"/>
          <w:bottom w:space="5"/>
          <w:right w:space="5"/>
        </w:pBdr>
        <w:spacing w:after="0"/>
        <w:ind w:left="225"/>
        <w:jc w:val="left"/>
      </w:pPr>
      <w:r>
        <w:rPr>
          <w:rFonts w:ascii="Times New Roman" w:hAnsi="Times New Roman"/>
          <w:b w:val="false"/>
          <w:i w:val="false"/>
          <w:color w:val="000000"/>
          <w:sz w:val="22"/>
        </w:rPr>
        <w:t>(3) notifying the installation/activity, within one day, of rejects and interest penalties assessed to individual accounts (confirm-does this happen);</w:t>
      </w:r>
    </w:p>
    <w:p>
      <w:pPr>
        <w:pBdr>
          <w:top w:space="5"/>
          <w:left w:space="5"/>
          <w:bottom w:space="5"/>
          <w:right w:space="5"/>
        </w:pBdr>
        <w:spacing w:after="0"/>
        <w:ind w:left="225"/>
        <w:jc w:val="left"/>
      </w:pPr>
      <w:r>
        <w:rPr>
          <w:rFonts w:ascii="Times New Roman" w:hAnsi="Times New Roman"/>
          <w:b w:val="false"/>
          <w:i w:val="false"/>
          <w:color w:val="000000"/>
          <w:sz w:val="22"/>
        </w:rPr>
        <w:t>(4) receiving and processing requests for manual payments; for example, bank system rejects and non-EDI accounts; and,</w:t>
      </w:r>
    </w:p>
    <w:p>
      <w:pPr>
        <w:pBdr>
          <w:top w:space="5"/>
          <w:left w:space="5"/>
          <w:bottom w:space="5"/>
          <w:right w:space="5"/>
        </w:pBdr>
        <w:spacing w:after="0"/>
        <w:ind w:left="225"/>
        <w:jc w:val="left"/>
      </w:pPr>
      <w:r>
        <w:rPr>
          <w:rFonts w:ascii="Times New Roman" w:hAnsi="Times New Roman"/>
          <w:b w:val="false"/>
          <w:i w:val="false"/>
          <w:color w:val="000000"/>
          <w:sz w:val="22"/>
        </w:rPr>
        <w:t>(5) assisting in resolving GPC payment issues.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h. </w:t>
      </w:r>
      <w:r>
        <w:rPr>
          <w:rFonts w:ascii="Times New Roman" w:hAnsi="Times New Roman"/>
          <w:b/>
          <w:i w:val="false"/>
          <w:color w:val="000000"/>
          <w:sz w:val="22"/>
        </w:rPr>
        <w:t>Property Book Officer</w:t>
      </w:r>
      <w:r>
        <w:rPr>
          <w:rFonts w:ascii="Times New Roman" w:hAnsi="Times New Roman"/>
          <w:b w:val="false"/>
          <w:i w:val="false"/>
          <w:color w:val="000000"/>
          <w:sz w:val="22"/>
        </w:rPr>
        <w:t xml:space="preserve"> duties:</w:t>
      </w:r>
    </w:p>
    <w:p>
      <w:pPr>
        <w:pBdr>
          <w:top w:space="5"/>
          <w:left w:space="5"/>
          <w:bottom w:space="5"/>
          <w:right w:space="5"/>
        </w:pBdr>
        <w:spacing w:after="0"/>
        <w:ind w:left="225"/>
        <w:jc w:val="left"/>
      </w:pPr>
      <w:r>
        <w:rPr>
          <w:rFonts w:ascii="Times New Roman" w:hAnsi="Times New Roman"/>
          <w:b w:val="false"/>
          <w:i w:val="false"/>
          <w:color w:val="000000"/>
          <w:sz w:val="22"/>
        </w:rPr>
        <w:t>(1) Ensuring established property control and accountability procedures are developed and disseminated to all personnel who are entrusted with the acquisition of Army property and equipment;</w:t>
      </w:r>
    </w:p>
    <w:p>
      <w:pPr>
        <w:pBdr>
          <w:top w:space="5"/>
          <w:left w:space="5"/>
          <w:bottom w:space="5"/>
          <w:right w:space="5"/>
        </w:pBdr>
        <w:spacing w:after="0"/>
        <w:ind w:left="225"/>
        <w:jc w:val="left"/>
      </w:pPr>
      <w:r>
        <w:rPr>
          <w:rFonts w:ascii="Times New Roman" w:hAnsi="Times New Roman"/>
          <w:b w:val="false"/>
          <w:i w:val="false"/>
          <w:color w:val="000000"/>
          <w:sz w:val="22"/>
        </w:rPr>
        <w:t>(2) Assisting the A/OPC in review of the purchase card account to ensure that property accountability procedures are being followed;</w:t>
      </w:r>
    </w:p>
    <w:p>
      <w:pPr>
        <w:pBdr>
          <w:top w:space="5"/>
          <w:left w:space="5"/>
          <w:bottom w:space="5"/>
          <w:right w:space="5"/>
        </w:pBdr>
        <w:spacing w:after="0"/>
        <w:ind w:left="225"/>
        <w:jc w:val="left"/>
      </w:pPr>
      <w:r>
        <w:rPr>
          <w:rFonts w:ascii="Times New Roman" w:hAnsi="Times New Roman"/>
          <w:b w:val="false"/>
          <w:i w:val="false"/>
          <w:color w:val="000000"/>
          <w:sz w:val="22"/>
        </w:rPr>
        <w:t>(3) Compliance with accountability procedures in AR 710-2, AR 735-5;</w:t>
      </w:r>
    </w:p>
    <w:p>
      <w:pPr>
        <w:pBdr>
          <w:top w:space="5"/>
          <w:left w:space="5"/>
          <w:bottom w:space="5"/>
          <w:right w:space="5"/>
        </w:pBdr>
        <w:spacing w:after="0"/>
        <w:ind w:left="225"/>
        <w:jc w:val="left"/>
      </w:pPr>
      <w:r>
        <w:rPr>
          <w:rFonts w:ascii="Times New Roman" w:hAnsi="Times New Roman"/>
          <w:b w:val="false"/>
          <w:i w:val="false"/>
          <w:color w:val="000000"/>
          <w:sz w:val="22"/>
        </w:rPr>
        <w:t>(4) Promptly record in agency property systems, sensitive and pilferable property purchased with the GPC; and,</w:t>
      </w:r>
    </w:p>
    <w:p>
      <w:pPr>
        <w:pBdr>
          <w:top w:space="5"/>
          <w:left w:space="5"/>
          <w:bottom w:space="5"/>
          <w:right w:space="5"/>
        </w:pBdr>
        <w:spacing w:after="0"/>
        <w:ind w:left="225"/>
        <w:jc w:val="left"/>
      </w:pPr>
      <w:r>
        <w:rPr>
          <w:rFonts w:ascii="Times New Roman" w:hAnsi="Times New Roman"/>
          <w:b w:val="false"/>
          <w:i w:val="false"/>
          <w:color w:val="000000"/>
          <w:sz w:val="22"/>
        </w:rPr>
        <w:t>(5) Determining the accounting requirements for the GPC purchased property, such as nonexpendable or controlled (requires property to be accounted for on property book records), durable (requires control when issued to the user) and expendable (no requirement to account for on property book records).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