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**ID__AFARS_Appendix-EE_2-2__ID**</w:t>
      </w:r>
    </w:p>
    <w:p>
      <w:pPr>
        <w:pStyle w:val="Heading3"/>
        <w:spacing w:after="199"/>
        <w:ind w:left="120"/>
        <w:jc w:val="left"/>
      </w:pPr>
      <w:r>
        <w:rPr>
          <w:rFonts w:ascii="Times New Roman" w:hAnsi="Times New Roman"/>
          <w:color w:val="000000"/>
          <w:sz w:val="36"/>
        </w:rPr>
        <w:t>2-2.</w:t>
      </w:r>
      <w:r>
        <w:rPr>
          <w:rFonts w:ascii="Times New Roman" w:hAnsi="Times New Roman"/>
          <w:color w:val="000000"/>
          <w:sz w:val="36"/>
        </w:rPr>
        <w:t xml:space="preserve"> Training Requirements</w:t>
      </w:r>
    </w:p>
    <w:p>
      <w:pPr>
        <w:pBdr>
          <w:top w:space="5"/>
          <w:left w:space="5"/>
          <w:bottom w:space="5"/>
          <w:right w:space="5"/>
        </w:pBdr>
        <w:spacing w:after="0"/>
        <w:ind w:left="225"/>
        <w:jc w:val="left"/>
      </w:pPr>
      <w:r>
        <w:rPr>
          <w:rFonts w:ascii="Times New Roman" w:hAnsi="Times New Roman"/>
          <w:b w:val="false"/>
          <w:i w:val="false"/>
          <w:color w:val="000000"/>
          <w:sz w:val="22"/>
        </w:rPr>
        <w:t>a. Individuals must complete the training identified in the chart below. The training must be completed prior to issuance of appointment letters and/or establishment of GPC accounts. Proof of training must be documented and retrained by the A/OPC.</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Training Requirements</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Training Requirement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Role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Mandatory Training</w:t>
            </w:r>
          </w:p>
        </w:tc>
      </w:tr>
      <w:tr>
        <w:trPr>
          <w:trHeight w:val="18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Ethics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 350-1 paragraph G-18 and DOD 5500.7-R, the J</w:t>
            </w:r>
            <w:r>
              <w:rPr>
                <w:rFonts w:ascii="Times New Roman" w:hAnsi="Times New Roman"/>
                <w:b w:val="false"/>
                <w:i w:val="false"/>
                <w:color w:val="000000"/>
                <w:sz w:val="22"/>
              </w:rPr>
              <w:t>oint Ethics Regulation</w:t>
            </w:r>
          </w:p>
          <w:p>
            <w:pPr>
              <w:pBdr>
                <w:top w:space="5"/>
                <w:left w:space="5"/>
                <w:bottom w:space="5"/>
                <w:right w:space="5"/>
              </w:pBdr>
              <w:spacing w:after="0"/>
              <w:ind w:left="240"/>
              <w:jc w:val="left"/>
            </w:pPr>
            <w:r>
              <w:rPr>
                <w:rFonts w:ascii="Times New Roman" w:hAnsi="Times New Roman"/>
                <w:b w:val="false"/>
                <w:i w:val="false"/>
                <w:color w:val="000000"/>
                <w:sz w:val="22"/>
              </w:rPr>
              <w:t xml:space="preserve">HBS 415 Ethics at Work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 Bank Access Online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https://access.usbank.com/cpsApp1/index.jsp</w:t>
              </w:r>
            </w:hyperlink>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 Card Online System (PCOLS)</w:t>
            </w:r>
          </w:p>
          <w:p>
            <w:pPr>
              <w:pBdr>
                <w:top w:space="5"/>
                <w:left w:space="5"/>
                <w:bottom w:space="5"/>
                <w:right w:space="5"/>
              </w:pBdr>
              <w:spacing w:after="0"/>
              <w:ind w:left="240"/>
              <w:jc w:val="left"/>
            </w:pPr>
            <w:r>
              <w:rPr>
                <w:rFonts w:ascii="Times New Roman" w:hAnsi="Times New Roman"/>
                <w:b w:val="false"/>
                <w:i w:val="false"/>
                <w:color w:val="000000"/>
                <w:sz w:val="22"/>
              </w:rPr>
              <w:t>CLG 005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Local GPC Training</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 BO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Activity/Level 3 A/OPC developed</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GPC (CLG001)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GPC Refresher Training</w:t>
            </w:r>
          </w:p>
          <w:p>
            <w:pPr>
              <w:pBdr>
                <w:top w:space="5"/>
                <w:left w:space="5"/>
                <w:bottom w:space="5"/>
                <w:right w:space="5"/>
              </w:pBdr>
              <w:spacing w:after="0"/>
              <w:ind w:left="240"/>
              <w:jc w:val="left"/>
            </w:pPr>
            <w:r>
              <w:rPr>
                <w:rFonts w:ascii="Times New Roman" w:hAnsi="Times New Roman"/>
                <w:b w:val="false"/>
                <w:i w:val="false"/>
                <w:color w:val="000000"/>
                <w:sz w:val="22"/>
              </w:rPr>
              <w:t>(every 2 years) (CLG004)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Suggested Training</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Fraud Awareness</w:t>
            </w:r>
          </w:p>
          <w:p>
            <w:pPr>
              <w:pBdr>
                <w:top w:space="5"/>
                <w:left w:space="5"/>
                <w:bottom w:space="5"/>
                <w:right w:space="5"/>
              </w:pBdr>
              <w:spacing w:after="0"/>
              <w:ind w:left="240"/>
              <w:jc w:val="left"/>
            </w:pPr>
            <w:r>
              <w:rPr>
                <w:rFonts w:ascii="Times New Roman" w:hAnsi="Times New Roman"/>
                <w:b w:val="false"/>
                <w:i w:val="false"/>
                <w:color w:val="000000"/>
                <w:sz w:val="22"/>
              </w:rPr>
              <w:t>(AUD 1283)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Effective Report Writing</w:t>
            </w:r>
          </w:p>
          <w:p>
            <w:pPr>
              <w:pBdr>
                <w:top w:space="5"/>
                <w:left w:space="5"/>
                <w:bottom w:space="5"/>
                <w:right w:space="5"/>
              </w:pBdr>
              <w:spacing w:after="0"/>
              <w:ind w:left="240"/>
              <w:jc w:val="left"/>
            </w:pPr>
            <w:r>
              <w:rPr>
                <w:rFonts w:ascii="Times New Roman" w:hAnsi="Times New Roman"/>
                <w:b w:val="false"/>
                <w:i w:val="false"/>
                <w:color w:val="000000"/>
                <w:sz w:val="22"/>
              </w:rPr>
              <w:t>(AUD 6115)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Simplified Acquisition Procedures</w:t>
            </w:r>
          </w:p>
          <w:p>
            <w:pPr>
              <w:pBdr>
                <w:top w:space="5"/>
                <w:left w:space="5"/>
                <w:bottom w:space="5"/>
                <w:right w:space="5"/>
              </w:pBdr>
              <w:spacing w:after="0"/>
              <w:ind w:left="240"/>
              <w:jc w:val="left"/>
            </w:pPr>
            <w:r>
              <w:rPr>
                <w:rFonts w:ascii="Times New Roman" w:hAnsi="Times New Roman"/>
                <w:b w:val="false"/>
                <w:i w:val="false"/>
                <w:color w:val="000000"/>
                <w:sz w:val="22"/>
              </w:rPr>
              <w:t>(CON 237)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80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SmartPay Purchase Card Training (CH)</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https://training.smartpay.gsa.gov/training/purchase-card-cardholders</w:t>
              </w:r>
            </w:hyperlink>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SmartPay Purchase Card Training (A/OPC)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https://training.smartpay.gsa.gov/training/purchase-card-aopc</w:t>
              </w:r>
            </w:hyperlink>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Each Level 4 A/OPC is responsible for providing training to CHs and BOs. No exceptions or substitutions for this training are authorized. At a minimum, the local training for CHs and BOs must cover the following:</w:t>
      </w:r>
    </w:p>
    <w:p>
      <w:pPr>
        <w:pBdr>
          <w:top w:space="5"/>
          <w:left w:space="5"/>
          <w:bottom w:space="5"/>
          <w:right w:space="5"/>
        </w:pBdr>
        <w:spacing w:after="0"/>
        <w:ind w:left="585"/>
        <w:jc w:val="left"/>
      </w:pPr>
      <w:r>
        <w:rPr>
          <w:rFonts w:ascii="Times New Roman" w:hAnsi="Times New Roman"/>
          <w:b w:val="false"/>
          <w:i w:val="false"/>
          <w:color w:val="000000"/>
          <w:sz w:val="22"/>
        </w:rPr>
        <w:t>(1) Army Purchase Card Program policies and procedures</w:t>
      </w:r>
    </w:p>
    <w:p>
      <w:pPr>
        <w:pBdr>
          <w:top w:space="5"/>
          <w:left w:space="5"/>
          <w:bottom w:space="5"/>
          <w:right w:space="5"/>
        </w:pBdr>
        <w:spacing w:after="0"/>
        <w:ind w:left="585"/>
        <w:jc w:val="left"/>
      </w:pPr>
      <w:r>
        <w:rPr>
          <w:rFonts w:ascii="Times New Roman" w:hAnsi="Times New Roman"/>
          <w:b w:val="false"/>
          <w:i w:val="false"/>
          <w:color w:val="000000"/>
          <w:sz w:val="22"/>
        </w:rPr>
        <w:t>(2) CH and BO duties and responsibilities</w:t>
      </w:r>
    </w:p>
    <w:p>
      <w:pPr>
        <w:pBdr>
          <w:top w:space="5"/>
          <w:left w:space="5"/>
          <w:bottom w:space="5"/>
          <w:right w:space="5"/>
        </w:pBdr>
        <w:spacing w:after="0"/>
        <w:ind w:left="585"/>
        <w:jc w:val="left"/>
      </w:pPr>
      <w:r>
        <w:rPr>
          <w:rFonts w:ascii="Times New Roman" w:hAnsi="Times New Roman"/>
          <w:b w:val="false"/>
          <w:i w:val="false"/>
          <w:color w:val="000000"/>
          <w:sz w:val="22"/>
        </w:rPr>
        <w:t>(3) CH and BO guides developed by the Servicing Bank</w:t>
      </w:r>
    </w:p>
    <w:p>
      <w:pPr>
        <w:pBdr>
          <w:top w:space="5"/>
          <w:left w:space="5"/>
          <w:bottom w:space="5"/>
          <w:right w:space="5"/>
        </w:pBdr>
        <w:spacing w:after="0"/>
        <w:ind w:left="585"/>
        <w:jc w:val="left"/>
      </w:pPr>
      <w:r>
        <w:rPr>
          <w:rFonts w:ascii="Times New Roman" w:hAnsi="Times New Roman"/>
          <w:b w:val="false"/>
          <w:i w:val="false"/>
          <w:color w:val="000000"/>
          <w:sz w:val="22"/>
        </w:rPr>
        <w:t>(4) Procedures and techniques for the use of the Servicing Bank’s EAS</w:t>
      </w:r>
    </w:p>
    <w:p>
      <w:pPr>
        <w:pBdr>
          <w:top w:space="5"/>
          <w:left w:space="5"/>
          <w:bottom w:space="5"/>
          <w:right w:space="5"/>
        </w:pBdr>
        <w:spacing w:after="0"/>
        <w:ind w:left="585"/>
        <w:jc w:val="left"/>
      </w:pPr>
      <w:r>
        <w:rPr>
          <w:rFonts w:ascii="Times New Roman" w:hAnsi="Times New Roman"/>
          <w:b w:val="false"/>
          <w:i w:val="false"/>
          <w:color w:val="000000"/>
          <w:sz w:val="22"/>
        </w:rPr>
        <w:t>(5) Funding, billing, payment, and file documentation requirements</w:t>
      </w:r>
    </w:p>
    <w:p>
      <w:pPr>
        <w:pBdr>
          <w:top w:space="5"/>
          <w:left w:space="5"/>
          <w:bottom w:space="5"/>
          <w:right w:space="5"/>
        </w:pBdr>
        <w:spacing w:after="0"/>
        <w:ind w:left="585"/>
        <w:jc w:val="left"/>
      </w:pPr>
      <w:r>
        <w:rPr>
          <w:rFonts w:ascii="Times New Roman" w:hAnsi="Times New Roman"/>
          <w:b w:val="false"/>
          <w:i w:val="false"/>
          <w:color w:val="000000"/>
          <w:sz w:val="22"/>
        </w:rPr>
        <w:t>(6) Property accountability procedures</w:t>
      </w:r>
    </w:p>
    <w:p>
      <w:pPr>
        <w:pBdr>
          <w:top w:space="5"/>
          <w:left w:space="5"/>
          <w:bottom w:space="5"/>
          <w:right w:space="5"/>
        </w:pBdr>
        <w:spacing w:after="0"/>
        <w:ind w:left="585"/>
        <w:jc w:val="left"/>
      </w:pPr>
      <w:r>
        <w:rPr>
          <w:rFonts w:ascii="Times New Roman" w:hAnsi="Times New Roman"/>
          <w:b w:val="false"/>
          <w:i w:val="false"/>
          <w:color w:val="000000"/>
          <w:sz w:val="22"/>
        </w:rPr>
        <w:t>(7) Ethics Training</w:t>
      </w:r>
    </w:p>
    <w:p>
      <w:pPr>
        <w:pBdr>
          <w:top w:space="5"/>
          <w:left w:space="5"/>
          <w:bottom w:space="5"/>
          <w:right w:space="5"/>
        </w:pBdr>
        <w:spacing w:after="0"/>
        <w:ind w:left="585"/>
        <w:jc w:val="left"/>
      </w:pPr>
      <w:r>
        <w:rPr>
          <w:rFonts w:ascii="Times New Roman" w:hAnsi="Times New Roman"/>
          <w:b w:val="false"/>
          <w:i w:val="false"/>
          <w:color w:val="000000"/>
          <w:sz w:val="22"/>
        </w:rPr>
        <w:t>(8) Required sources of supply</w:t>
      </w:r>
    </w:p>
    <w:p>
      <w:pPr>
        <w:pBdr>
          <w:top w:space="5"/>
          <w:left w:space="5"/>
          <w:bottom w:space="5"/>
          <w:right w:space="5"/>
        </w:pBdr>
        <w:spacing w:after="0"/>
        <w:ind w:left="585"/>
        <w:jc w:val="left"/>
      </w:pPr>
      <w:r>
        <w:rPr>
          <w:rFonts w:ascii="Times New Roman" w:hAnsi="Times New Roman"/>
          <w:b w:val="false"/>
          <w:i w:val="false"/>
          <w:color w:val="000000"/>
          <w:sz w:val="22"/>
        </w:rPr>
        <w:t>(9) FAR/DFARS/AFARS coverage of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(10) Record retention requirements</w:t>
      </w:r>
    </w:p>
    <w:p>
      <w:pPr>
        <w:pBdr>
          <w:top w:space="5"/>
          <w:left w:space="5"/>
          <w:bottom w:space="5"/>
          <w:right w:space="5"/>
        </w:pBdr>
        <w:spacing w:after="0"/>
        <w:ind w:left="585"/>
        <w:jc w:val="left"/>
      </w:pPr>
      <w:r>
        <w:rPr>
          <w:rFonts w:ascii="Times New Roman" w:hAnsi="Times New Roman"/>
          <w:b w:val="false"/>
          <w:i w:val="false"/>
          <w:color w:val="000000"/>
          <w:sz w:val="22"/>
        </w:rPr>
        <w:t>(11) Prohibited items and items that require pre-approval for purchase</w:t>
      </w:r>
    </w:p>
    <w:p>
      <w:pPr>
        <w:pBdr>
          <w:top w:space="5"/>
          <w:left w:space="5"/>
          <w:bottom w:space="5"/>
          <w:right w:space="5"/>
        </w:pBdr>
        <w:spacing w:after="0"/>
        <w:ind w:left="585"/>
        <w:jc w:val="left"/>
      </w:pPr>
      <w:r>
        <w:rPr>
          <w:rFonts w:ascii="Times New Roman" w:hAnsi="Times New Roman"/>
          <w:b w:val="false"/>
          <w:i w:val="false"/>
          <w:color w:val="000000"/>
          <w:sz w:val="22"/>
        </w:rPr>
        <w:t>(12) Dispute procedures</w:t>
      </w:r>
    </w:p>
    <w:p>
      <w:pPr>
        <w:pBdr>
          <w:top w:space="5"/>
          <w:left w:space="5"/>
          <w:bottom w:space="5"/>
          <w:right w:space="5"/>
        </w:pBdr>
        <w:spacing w:after="0"/>
        <w:ind w:left="585"/>
        <w:jc w:val="left"/>
      </w:pPr>
      <w:r>
        <w:rPr>
          <w:rFonts w:ascii="Times New Roman" w:hAnsi="Times New Roman"/>
          <w:b w:val="false"/>
          <w:i w:val="false"/>
          <w:color w:val="000000"/>
          <w:sz w:val="22"/>
        </w:rPr>
        <w:t>(13) Cancellation and lost, stolen, or compromised card procedures</w:t>
      </w:r>
    </w:p>
    <w:p>
      <w:pPr>
        <w:pBdr>
          <w:top w:space="5"/>
          <w:left w:space="5"/>
          <w:bottom w:space="5"/>
          <w:right w:space="5"/>
        </w:pBdr>
        <w:spacing w:after="0"/>
        <w:ind w:left="585"/>
        <w:jc w:val="left"/>
      </w:pPr>
      <w:r>
        <w:rPr>
          <w:rFonts w:ascii="Times New Roman" w:hAnsi="Times New Roman"/>
          <w:b w:val="false"/>
          <w:i w:val="false"/>
          <w:color w:val="000000"/>
          <w:sz w:val="22"/>
        </w:rPr>
        <w:t>(14) Convenience check usage</w:t>
      </w:r>
    </w:p>
    <w:p>
      <w:pPr>
        <w:pBdr>
          <w:top w:space="5"/>
          <w:left w:space="5"/>
          <w:bottom w:space="5"/>
          <w:right w:space="5"/>
        </w:pBdr>
        <w:spacing w:after="0"/>
        <w:ind w:left="585"/>
        <w:jc w:val="left"/>
      </w:pPr>
      <w:r>
        <w:rPr>
          <w:rFonts w:ascii="Times New Roman" w:hAnsi="Times New Roman"/>
          <w:b w:val="false"/>
          <w:i w:val="false"/>
          <w:color w:val="000000"/>
          <w:sz w:val="22"/>
        </w:rPr>
        <w:t>(15) Oversight tools and techniques</w:t>
      </w:r>
    </w:p>
    <w:p>
      <w:pPr>
        <w:pBdr>
          <w:top w:space="5"/>
          <w:left w:space="5"/>
          <w:bottom w:space="5"/>
          <w:right w:space="5"/>
        </w:pBdr>
        <w:spacing w:after="0"/>
        <w:ind w:left="585"/>
        <w:jc w:val="left"/>
      </w:pPr>
      <w:r>
        <w:rPr>
          <w:rFonts w:ascii="Times New Roman" w:hAnsi="Times New Roman"/>
          <w:b w:val="false"/>
          <w:i w:val="false"/>
          <w:color w:val="000000"/>
          <w:sz w:val="22"/>
        </w:rPr>
        <w:t>(16) Card Security</w:t>
      </w:r>
    </w:p>
    <w:p>
      <w:pPr>
        <w:pBdr>
          <w:top w:space="5"/>
          <w:left w:space="5"/>
          <w:bottom w:space="5"/>
          <w:right w:space="5"/>
        </w:pBdr>
        <w:spacing w:after="0"/>
        <w:ind w:left="585"/>
        <w:jc w:val="left"/>
      </w:pPr>
      <w:r>
        <w:rPr>
          <w:rFonts w:ascii="Times New Roman" w:hAnsi="Times New Roman"/>
          <w:b w:val="false"/>
          <w:i w:val="false"/>
          <w:color w:val="000000"/>
          <w:sz w:val="22"/>
        </w:rPr>
        <w:t>(17) Emphasize consideration of small business concerns when making micro-purchases</w:t>
      </w:r>
    </w:p>
    <w:p>
      <w:pPr>
        <w:pBdr>
          <w:top w:space="5"/>
          <w:left w:space="5"/>
          <w:bottom w:space="5"/>
          <w:right w:space="5"/>
        </w:pBdr>
        <w:spacing w:after="0"/>
        <w:ind w:left="585"/>
        <w:jc w:val="left"/>
      </w:pPr>
      <w:r>
        <w:rPr>
          <w:rFonts w:ascii="Times New Roman" w:hAnsi="Times New Roman"/>
          <w:b w:val="false"/>
          <w:i w:val="false"/>
          <w:color w:val="000000"/>
          <w:sz w:val="22"/>
        </w:rPr>
        <w:t>(18) Mandatory use of Office Supply BPAs located on DOD EMALL Army Corridor</w:t>
      </w:r>
    </w:p>
    <w:p>
      <w:pPr>
        <w:pBdr>
          <w:top w:space="5"/>
          <w:left w:space="5"/>
          <w:bottom w:space="5"/>
          <w:right w:space="5"/>
        </w:pBdr>
        <w:spacing w:after="0"/>
        <w:ind w:left="585"/>
        <w:jc w:val="left"/>
      </w:pPr>
      <w:r>
        <w:rPr>
          <w:rFonts w:ascii="Times New Roman" w:hAnsi="Times New Roman"/>
          <w:b w:val="false"/>
          <w:i w:val="false"/>
          <w:color w:val="000000"/>
          <w:sz w:val="22"/>
        </w:rPr>
        <w:t>(19) Use of the AbilityOne Base Supply Centers</w:t>
      </w:r>
    </w:p>
    <w:p>
      <w:pPr>
        <w:pBdr>
          <w:top w:space="5"/>
          <w:left w:space="5"/>
          <w:bottom w:space="5"/>
          <w:right w:space="5"/>
        </w:pBdr>
        <w:spacing w:after="0"/>
        <w:ind w:left="225"/>
        <w:jc w:val="left"/>
      </w:pPr>
      <w:r>
        <w:rPr>
          <w:rFonts w:ascii="Times New Roman" w:hAnsi="Times New Roman"/>
          <w:b w:val="false"/>
          <w:i w:val="false"/>
          <w:color w:val="000000"/>
          <w:sz w:val="22"/>
        </w:rPr>
        <w:t>c. A/OPCs provide additional training on simplified acquisitions procedures and required documentation to CHs who are given authority to place orders above the micro-purchase threshold against existing contracts (appointed as Ordering Officers), and for CHs outside the continental United States (OCONUS) who have a single purchase limit in excess of $3,000 but does not exceed $25,000 (DFARS 213.301).</w:t>
      </w:r>
    </w:p>
    <w:p>
      <w:pPr>
        <w:pBdr>
          <w:top w:space="5"/>
          <w:left w:space="5"/>
          <w:bottom w:space="5"/>
          <w:right w:space="5"/>
        </w:pBdr>
        <w:spacing w:after="0"/>
        <w:ind w:left="225"/>
        <w:jc w:val="left"/>
      </w:pPr>
      <w:r>
        <w:rPr>
          <w:rFonts w:ascii="Times New Roman" w:hAnsi="Times New Roman"/>
          <w:b w:val="false"/>
          <w:i w:val="false"/>
          <w:color w:val="000000"/>
          <w:sz w:val="22"/>
        </w:rPr>
        <w:t>d. GPC A/OPCs are required to track the training (including refresher training) of all program participants (CHs, A/BOs, Certifying Officers (CO), and A/OPCs) in a system of records and ensure that the required DAU initial and refresher training (Courses CLG001 and CLG004, respectively) have been completed. Successful completion of the initial training course is required before issuing cards. Successful completion of the refresher training course must be satisfied once every two years by program officials in order to continue in their roles. A/OPCs must ensure completion of the refresher training requirement is part of their annual review of all managing accounts under their cognizance.</w:t>
      </w:r>
    </w:p>
    <w:p>
      <w:pPr>
        <w:pBdr>
          <w:top w:space="5"/>
          <w:left w:space="5"/>
          <w:bottom w:space="5"/>
          <w:right w:space="5"/>
        </w:pBdr>
        <w:spacing w:after="0"/>
        <w:ind w:left="225"/>
        <w:jc w:val="left"/>
      </w:pPr>
      <w:r>
        <w:rPr>
          <w:rFonts w:ascii="Times New Roman" w:hAnsi="Times New Roman"/>
          <w:b w:val="false"/>
          <w:i w:val="false"/>
          <w:color w:val="000000"/>
          <w:sz w:val="22"/>
        </w:rPr>
        <w:t>e. CHs and BOs who fail to complete biennial refresher training must have their GPC account suspended until training is completed. The SCO or the local GPC activity may require refresher training more frequently to satisfy their training or operational needs. The training requirement for CHs and BOs trained at a previous duty station may be abbreviated or waived, in writing, as determined by the current A/OPC.</w:t>
      </w:r>
    </w:p>
    <w:p>
      <w:pPr>
        <w:pBdr>
          <w:top w:space="5"/>
          <w:left w:space="5"/>
          <w:bottom w:space="5"/>
          <w:right w:space="5"/>
        </w:pBdr>
        <w:spacing w:after="0"/>
        <w:ind w:left="225"/>
        <w:jc w:val="left"/>
      </w:pPr>
      <w:r>
        <w:rPr>
          <w:rFonts w:ascii="Times New Roman" w:hAnsi="Times New Roman"/>
          <w:b w:val="false"/>
          <w:i w:val="false"/>
          <w:color w:val="000000"/>
          <w:sz w:val="22"/>
        </w:rPr>
        <w:t>f. All trainees must sign a statement of training certifying they have received the initial GPC program training, they understand the training provided, GPC program training materials have been provided or made available, and they understand the penalties associated with misuse of the card. Cardholders should provide their Level 4 A/OPC with a copy of the training certificate and retain the original.</w:t>
      </w:r>
    </w:p>
    <w:p>
      <w:pPr>
        <w:pBdr>
          <w:top w:space="5"/>
          <w:left w:space="5"/>
          <w:bottom w:space="5"/>
          <w:right w:space="5"/>
        </w:pBdr>
        <w:spacing w:after="0"/>
        <w:ind w:left="225"/>
        <w:jc w:val="left"/>
      </w:pPr>
      <w:r>
        <w:rPr>
          <w:rFonts w:ascii="Times New Roman" w:hAnsi="Times New Roman"/>
          <w:b w:val="false"/>
          <w:i w:val="false"/>
          <w:color w:val="000000"/>
          <w:sz w:val="22"/>
        </w:rPr>
        <w:t>g. Level 3 and Level 4 A/OPCs should notify all participants in the GPC program of changes, as they occur, through the most efficient means (e.g. e-mail, newsletters, etc.).</w:t>
      </w:r>
    </w:p>
    <w:p>
      <w:pPr>
        <w:pBdr>
          <w:top w:space="5"/>
          <w:left w:space="5"/>
          <w:bottom w:space="5"/>
          <w:right w:space="5"/>
        </w:pBdr>
        <w:spacing w:after="0"/>
        <w:ind w:left="225"/>
        <w:jc w:val="left"/>
      </w:pPr>
      <w:r>
        <w:rPr>
          <w:rFonts w:ascii="Times New Roman" w:hAnsi="Times New Roman"/>
          <w:b w:val="false"/>
          <w:i w:val="false"/>
          <w:color w:val="000000"/>
          <w:sz w:val="22"/>
        </w:rPr>
        <w:t>h. Attendance at the annual GSA SmartPay Conference is mandatory for all Level 3 and 4 A/OPCs as funding permits.</w:t>
      </w:r>
    </w:p>
    <w:p>
      <w:pPr>
        <w:pBdr>
          <w:top w:space="5"/>
          <w:left w:space="5"/>
          <w:bottom w:space="5"/>
          <w:right w:space="5"/>
        </w:pBdr>
        <w:spacing w:after="0"/>
        <w:ind w:left="225"/>
        <w:jc w:val="left"/>
      </w:pPr>
      <w:r>
        <w:rPr>
          <w:rFonts w:ascii="Times New Roman" w:hAnsi="Times New Roman"/>
          <w:b w:val="false"/>
          <w:i w:val="false"/>
          <w:color w:val="000000"/>
          <w:sz w:val="22"/>
        </w:rPr>
        <w:t>i</w:t>
      </w:r>
      <w:r>
        <w:rPr>
          <w:rFonts w:ascii="Times New Roman" w:hAnsi="Times New Roman"/>
          <w:b w:val="false"/>
          <w:i w:val="false"/>
          <w:color w:val="000000"/>
          <w:sz w:val="22"/>
        </w:rPr>
        <w:t>.</w:t>
      </w:r>
      <w:r>
        <w:rPr>
          <w:rFonts w:ascii="Times New Roman" w:hAnsi="Times New Roman"/>
          <w:b w:val="false"/>
          <w:i w:val="false"/>
          <w:color w:val="000000"/>
          <w:sz w:val="22"/>
        </w:rPr>
        <w:t xml:space="preserve"> All GPC personnel must receive mandatory ethics training annually in accordance with AR 350-1 paragraph G-18 and DOD 5500.7-R, the J</w:t>
      </w:r>
      <w:r>
        <w:rPr>
          <w:rFonts w:ascii="Times New Roman" w:hAnsi="Times New Roman"/>
          <w:b w:val="false"/>
          <w:i w:val="false"/>
          <w:color w:val="000000"/>
          <w:sz w:val="22"/>
        </w:rPr>
        <w:t>oint Ethics Regulation.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j. GSA developed and hosts an online training course for to help A/OPCs and CHs understand their role and responsibilities. To visit the Purchase Charge Card Online Training, go to the GSA SmartPay® website at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https://training.smartpay.gsa.gov</w:t>
        </w:r>
      </w:hyperlink>
      <w:r>
        <w:rPr>
          <w:rFonts w:ascii="Times New Roman" w:hAnsi="Times New Roman"/>
          <w:b w:val="false"/>
          <w:i w:val="false"/>
          <w:color w:val="000000"/>
          <w:sz w:val="22"/>
        </w:rPr>
        <w:t>.The servicing bank provides an A/OPC Guide available in hard copy and/or via the Internet at https://access.usbank.com/cpsApp1/index.jsp2476933.</w:t>
      </w:r>
    </w:p>
    <w:p>
      <w:pPr>
        <w:pBdr>
          <w:top w:space="5"/>
          <w:left w:space="5"/>
          <w:bottom w:space="5"/>
          <w:right w:space="5"/>
        </w:pBdr>
        <w:spacing w:after="0"/>
        <w:ind w:left="225"/>
        <w:jc w:val="left"/>
      </w:pPr>
      <w:r>
        <w:rPr>
          <w:rFonts w:ascii="Times New Roman" w:hAnsi="Times New Roman"/>
          <w:b w:val="false"/>
          <w:i w:val="false"/>
          <w:color w:val="000000"/>
          <w:sz w:val="22"/>
        </w:rPr>
        <w:t xml:space="preserve">k. Section 508 of the Rehabilitation Act (29 U.S.C 794d), as amended, requires that Federal agencies purchase and use electronic and information technology (EIT) that is accessible to people with disabilities and conforms to Section 508 standards. Visit </w:t>
      </w:r>
      <w:hyperlink r:id="rId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http://www.section508.gov/</w:t>
        </w:r>
      </w:hyperlink>
      <w:r>
        <w:rPr>
          <w:rFonts w:ascii="Times New Roman" w:hAnsi="Times New Roman"/>
          <w:b w:val="false"/>
          <w:i w:val="false"/>
          <w:color w:val="000000"/>
          <w:sz w:val="22"/>
        </w:rPr>
        <w:t xml:space="preserve"> for more information and Section 508 compliance training titled “Micro-purchases and Section 508” </w:t>
      </w:r>
      <w:hyperlink r:id="rId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http://www.section508.gov/index.cfm</w:t>
        </w:r>
      </w:hyperlink>
      <w:r>
        <w:rPr>
          <w:rFonts w:ascii="Times New Roman" w:hAnsi="Times New Roman"/>
          <w:b w:val="false"/>
          <w:i w:val="false"/>
          <w:color w:val="000000"/>
          <w:sz w:val="22"/>
        </w:rPr>
        <w:t xml:space="preserve">. GSA developed several online and CD training modules that can be accessed at: </w:t>
      </w:r>
      <w:hyperlink r:id="rId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http://www.section508.gov/index.cfm?FuseAction=Content&amp;ID=5</w:t>
        </w:r>
      </w:hyperlink>
      <w:r>
        <w:rPr>
          <w:rFonts w:ascii="Times New Roman" w:hAnsi="Times New Roman"/>
          <w:b w:val="false"/>
          <w:i w:val="false"/>
          <w:color w:val="000000"/>
          <w:sz w:val="22"/>
        </w:rPr>
        <w:t>. The requiring activity must identify IT deliverables covered by Section 508 and then identify the applicable technical standards; functional performance criteria; and information, documentation and support that apply to each IT deliverable to produce products that conform to the accessibility standard.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clc.dau.mil" Type="http://schemas.openxmlformats.org/officeDocument/2006/relationships/hyperlink" Id="rId4"/>
    <Relationship TargetMode="External" Target="https://access.usbank.com/cpsApp1/index.jsp" Type="http://schemas.openxmlformats.org/officeDocument/2006/relationships/hyperlink" Id="rId5"/>
    <Relationship TargetMode="External" Target="http://clc.dau.mil/" Type="http://schemas.openxmlformats.org/officeDocument/2006/relationships/hyperlink" Id="rId6"/>
    <Relationship TargetMode="External" Target="http://clc.dau.mil/" Type="http://schemas.openxmlformats.org/officeDocument/2006/relationships/hyperlink" Id="rId7"/>
    <Relationship TargetMode="External" Target="http://clc.dau.mil/" Type="http://schemas.openxmlformats.org/officeDocument/2006/relationships/hyperlink" Id="rId8"/>
    <Relationship TargetMode="External" Target="http://clc.dau.mil/" Type="http://schemas.openxmlformats.org/officeDocument/2006/relationships/hyperlink" Id="rId9"/>
    <Relationship TargetMode="External" Target="http://clc.dau.mil/" Type="http://schemas.openxmlformats.org/officeDocument/2006/relationships/hyperlink" Id="rId10"/>
    <Relationship TargetMode="External" Target="http://clc.dau.mil/" Type="http://schemas.openxmlformats.org/officeDocument/2006/relationships/hyperlink" Id="rId11"/>
    <Relationship TargetMode="External" Target="https://training.smartpay.gsa.gov/training/purchase-card-cardholders" Type="http://schemas.openxmlformats.org/officeDocument/2006/relationships/hyperlink" Id="rId12"/>
    <Relationship TargetMode="External" Target="https://training.smartpay.gsa.gov/training/purchase-card-aopc" Type="http://schemas.openxmlformats.org/officeDocument/2006/relationships/hyperlink" Id="rId13"/>
    <Relationship TargetMode="External" Target="https://training.smartpay.gsa.gov" Type="http://schemas.openxmlformats.org/officeDocument/2006/relationships/hyperlink" Id="rId14"/>
    <Relationship TargetMode="External" Target="http://www.section508.gov/" Type="http://schemas.openxmlformats.org/officeDocument/2006/relationships/hyperlink" Id="rId15"/>
    <Relationship TargetMode="External" Target="http://www.section508.gov/index.cfm" Type="http://schemas.openxmlformats.org/officeDocument/2006/relationships/hyperlink" Id="rId16"/>
    <Relationship TargetMode="External" Target="http://www.section508.gov/index.cfm?FuseAction=Content&amp;ID=5" Type="http://schemas.openxmlformats.org/officeDocument/2006/relationships/hyperlink" Id="rId1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